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7C0CE">
      <w:pPr>
        <w:rPr>
          <w:b/>
          <w:bCs/>
          <w:color w:val="FF0000"/>
          <w:sz w:val="28"/>
          <w:szCs w:val="36"/>
        </w:rPr>
      </w:pPr>
      <w:r>
        <w:rPr>
          <w:rFonts w:hint="eastAsia"/>
          <w:b/>
          <w:bCs/>
          <w:color w:val="000000" w:themeColor="text1"/>
          <w:sz w:val="28"/>
          <w:szCs w:val="36"/>
          <w14:textFill>
            <w14:solidFill>
              <w14:schemeClr w14:val="tx1"/>
            </w14:solidFill>
          </w14:textFill>
        </w:rPr>
        <w:t>信息科技</w:t>
      </w:r>
      <w:r>
        <w:rPr>
          <w:rFonts w:hint="eastAsia"/>
          <w:b/>
          <w:bCs/>
          <w:color w:val="000000" w:themeColor="text1"/>
          <w:sz w:val="28"/>
          <w:szCs w:val="36"/>
          <w:lang w:val="en-US" w:eastAsia="zh-CN"/>
          <w14:textFill>
            <w14:solidFill>
              <w14:schemeClr w14:val="tx1"/>
            </w14:solidFill>
          </w14:textFill>
        </w:rPr>
        <w:t>学科课时</w:t>
      </w:r>
      <w:r>
        <w:rPr>
          <w:rFonts w:hint="eastAsia"/>
          <w:b/>
          <w:bCs/>
          <w:color w:val="000000" w:themeColor="text1"/>
          <w:sz w:val="28"/>
          <w:szCs w:val="36"/>
          <w14:textFill>
            <w14:solidFill>
              <w14:schemeClr w14:val="tx1"/>
            </w14:solidFill>
          </w14:textFill>
        </w:rPr>
        <w:t>教学设计</w:t>
      </w:r>
    </w:p>
    <w:tbl>
      <w:tblPr>
        <w:tblStyle w:val="3"/>
        <w:tblW w:w="10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5084"/>
        <w:gridCol w:w="1755"/>
        <w:gridCol w:w="2572"/>
      </w:tblGrid>
      <w:tr w14:paraId="4AC3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0682" w:type="dxa"/>
            <w:gridSpan w:val="4"/>
            <w:tcBorders>
              <w:tl2br w:val="nil"/>
              <w:tr2bl w:val="nil"/>
            </w:tcBorders>
            <w:shd w:val="clear" w:color="auto" w:fill="DBE3F4" w:themeFill="accent1" w:themeFillTint="32"/>
            <w:vAlign w:val="center"/>
          </w:tcPr>
          <w:p w14:paraId="34F991B4">
            <w:pPr>
              <w:rPr>
                <w:color w:val="000000" w:themeColor="text1"/>
                <w14:textFill>
                  <w14:solidFill>
                    <w14:schemeClr w14:val="tx1"/>
                  </w14:solidFill>
                </w14:textFill>
              </w:rPr>
            </w:pPr>
            <w:r>
              <w:rPr>
                <w:rFonts w:hint="eastAsia"/>
                <w:color w:val="000000" w:themeColor="text1"/>
                <w14:textFill>
                  <w14:solidFill>
                    <w14:schemeClr w14:val="tx1"/>
                  </w14:solidFill>
                </w14:textFill>
              </w:rPr>
              <w:t>基本信息</w:t>
            </w:r>
          </w:p>
        </w:tc>
      </w:tr>
      <w:tr w14:paraId="51C55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71" w:type="dxa"/>
            <w:tcBorders>
              <w:tl2br w:val="nil"/>
              <w:tr2bl w:val="nil"/>
            </w:tcBorders>
            <w:vAlign w:val="center"/>
          </w:tcPr>
          <w:p w14:paraId="1D37E5D7">
            <w:pPr>
              <w:rPr>
                <w:color w:val="000000" w:themeColor="text1"/>
                <w14:textFill>
                  <w14:solidFill>
                    <w14:schemeClr w14:val="tx1"/>
                  </w14:solidFill>
                </w14:textFill>
              </w:rPr>
            </w:pPr>
            <w:r>
              <w:rPr>
                <w:rFonts w:hint="eastAsia"/>
                <w:color w:val="000000" w:themeColor="text1"/>
                <w14:textFill>
                  <w14:solidFill>
                    <w14:schemeClr w14:val="tx1"/>
                  </w14:solidFill>
                </w14:textFill>
              </w:rPr>
              <w:t>授课教师</w:t>
            </w:r>
          </w:p>
        </w:tc>
        <w:tc>
          <w:tcPr>
            <w:tcW w:w="5084" w:type="dxa"/>
            <w:tcBorders>
              <w:tl2br w:val="nil"/>
              <w:tr2bl w:val="nil"/>
            </w:tcBorders>
            <w:vAlign w:val="center"/>
          </w:tcPr>
          <w:p w14:paraId="505084E3">
            <w:pPr>
              <w:rPr>
                <w:rFonts w:hint="default" w:eastAsiaTheme="minorEastAsia"/>
                <w:color w:val="000000" w:themeColor="text1"/>
                <w:lang w:val="en-US" w:eastAsia="zh-CN"/>
                <w14:textFill>
                  <w14:solidFill>
                    <w14:schemeClr w14:val="tx1"/>
                  </w14:solidFill>
                </w14:textFill>
              </w:rPr>
            </w:pPr>
            <w:r>
              <w:rPr>
                <w:rFonts w:hint="eastAsia"/>
                <w:color w:val="FF0000"/>
                <w:lang w:val="en-US" w:eastAsia="zh-CN"/>
              </w:rPr>
              <w:t>（留空）</w:t>
            </w:r>
          </w:p>
        </w:tc>
        <w:tc>
          <w:tcPr>
            <w:tcW w:w="1755" w:type="dxa"/>
            <w:tcBorders>
              <w:tl2br w:val="nil"/>
              <w:tr2bl w:val="nil"/>
            </w:tcBorders>
            <w:vAlign w:val="center"/>
          </w:tcPr>
          <w:p w14:paraId="1EC44D11">
            <w:pPr>
              <w:rPr>
                <w:color w:val="000000" w:themeColor="text1"/>
                <w14:textFill>
                  <w14:solidFill>
                    <w14:schemeClr w14:val="tx1"/>
                  </w14:solidFill>
                </w14:textFill>
              </w:rPr>
            </w:pPr>
            <w:r>
              <w:rPr>
                <w:rFonts w:hint="eastAsia"/>
                <w:color w:val="000000" w:themeColor="text1"/>
                <w14:textFill>
                  <w14:solidFill>
                    <w14:schemeClr w14:val="tx1"/>
                  </w14:solidFill>
                </w14:textFill>
              </w:rPr>
              <w:t>学校</w:t>
            </w:r>
          </w:p>
        </w:tc>
        <w:tc>
          <w:tcPr>
            <w:tcW w:w="2572" w:type="dxa"/>
            <w:tcBorders>
              <w:tl2br w:val="nil"/>
              <w:tr2bl w:val="nil"/>
            </w:tcBorders>
            <w:vAlign w:val="center"/>
          </w:tcPr>
          <w:p w14:paraId="3BF14AAB">
            <w:pPr>
              <w:rPr>
                <w:rFonts w:hint="default" w:eastAsiaTheme="minorEastAsia"/>
                <w:color w:val="000000" w:themeColor="text1"/>
                <w:lang w:val="en-US" w:eastAsia="zh-CN"/>
                <w14:textFill>
                  <w14:solidFill>
                    <w14:schemeClr w14:val="tx1"/>
                  </w14:solidFill>
                </w14:textFill>
              </w:rPr>
            </w:pPr>
            <w:r>
              <w:rPr>
                <w:rFonts w:hint="eastAsia"/>
                <w:color w:val="FF0000"/>
                <w:lang w:val="en-US" w:eastAsia="zh-CN"/>
              </w:rPr>
              <w:t>（留空）</w:t>
            </w:r>
          </w:p>
        </w:tc>
      </w:tr>
      <w:tr w14:paraId="3147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71" w:type="dxa"/>
            <w:tcBorders>
              <w:tl2br w:val="nil"/>
              <w:tr2bl w:val="nil"/>
            </w:tcBorders>
            <w:vAlign w:val="center"/>
          </w:tcPr>
          <w:p w14:paraId="0FD584DE">
            <w:pPr>
              <w:rPr>
                <w:color w:val="000000" w:themeColor="text1"/>
                <w14:textFill>
                  <w14:solidFill>
                    <w14:schemeClr w14:val="tx1"/>
                  </w14:solidFill>
                </w14:textFill>
              </w:rPr>
            </w:pPr>
            <w:r>
              <w:rPr>
                <w:rFonts w:hint="eastAsia"/>
                <w:color w:val="000000" w:themeColor="text1"/>
                <w14:textFill>
                  <w14:solidFill>
                    <w14:schemeClr w14:val="tx1"/>
                  </w14:solidFill>
                </w14:textFill>
              </w:rPr>
              <w:t>科目</w:t>
            </w:r>
          </w:p>
        </w:tc>
        <w:tc>
          <w:tcPr>
            <w:tcW w:w="5084" w:type="dxa"/>
            <w:tcBorders>
              <w:tl2br w:val="nil"/>
              <w:tr2bl w:val="nil"/>
            </w:tcBorders>
            <w:vAlign w:val="center"/>
          </w:tcPr>
          <w:p w14:paraId="4300ADA7">
            <w:pPr>
              <w:rPr>
                <w:color w:val="000000" w:themeColor="text1"/>
                <w14:textFill>
                  <w14:solidFill>
                    <w14:schemeClr w14:val="tx1"/>
                  </w14:solidFill>
                </w14:textFill>
              </w:rPr>
            </w:pPr>
            <w:r>
              <w:rPr>
                <w:rFonts w:hint="eastAsia"/>
                <w:color w:val="000000" w:themeColor="text1"/>
                <w14:textFill>
                  <w14:solidFill>
                    <w14:schemeClr w14:val="tx1"/>
                  </w14:solidFill>
                </w14:textFill>
              </w:rPr>
              <w:t>信息科技</w:t>
            </w:r>
          </w:p>
        </w:tc>
        <w:tc>
          <w:tcPr>
            <w:tcW w:w="1755" w:type="dxa"/>
            <w:tcBorders>
              <w:tl2br w:val="nil"/>
              <w:tr2bl w:val="nil"/>
            </w:tcBorders>
            <w:vAlign w:val="center"/>
          </w:tcPr>
          <w:p w14:paraId="56425532">
            <w:pPr>
              <w:rPr>
                <w:color w:val="000000" w:themeColor="text1"/>
                <w14:textFill>
                  <w14:solidFill>
                    <w14:schemeClr w14:val="tx1"/>
                  </w14:solidFill>
                </w14:textFill>
              </w:rPr>
            </w:pPr>
            <w:r>
              <w:rPr>
                <w:rFonts w:hint="eastAsia"/>
                <w:color w:val="000000" w:themeColor="text1"/>
                <w14:textFill>
                  <w14:solidFill>
                    <w14:schemeClr w14:val="tx1"/>
                  </w14:solidFill>
                </w14:textFill>
              </w:rPr>
              <w:t>教学对象</w:t>
            </w:r>
          </w:p>
        </w:tc>
        <w:tc>
          <w:tcPr>
            <w:tcW w:w="2572" w:type="dxa"/>
            <w:tcBorders>
              <w:tl2br w:val="nil"/>
              <w:tr2bl w:val="nil"/>
            </w:tcBorders>
            <w:vAlign w:val="center"/>
          </w:tcPr>
          <w:p w14:paraId="18230F6E">
            <w:pP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五</w:t>
            </w:r>
            <w:bookmarkStart w:id="0" w:name="_GoBack"/>
            <w:bookmarkEnd w:id="0"/>
            <w:r>
              <w:rPr>
                <w:rFonts w:hint="eastAsia"/>
                <w:color w:val="000000" w:themeColor="text1"/>
                <w14:textFill>
                  <w14:solidFill>
                    <w14:schemeClr w14:val="tx1"/>
                  </w14:solidFill>
                </w14:textFill>
              </w:rPr>
              <w:t>年级</w:t>
            </w:r>
          </w:p>
        </w:tc>
      </w:tr>
      <w:tr w14:paraId="2641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271" w:type="dxa"/>
            <w:tcBorders>
              <w:tl2br w:val="nil"/>
              <w:tr2bl w:val="nil"/>
            </w:tcBorders>
            <w:vAlign w:val="center"/>
          </w:tcPr>
          <w:p w14:paraId="2ADD8AB0">
            <w:pPr>
              <w:rPr>
                <w:color w:val="000000" w:themeColor="text1"/>
                <w14:textFill>
                  <w14:solidFill>
                    <w14:schemeClr w14:val="tx1"/>
                  </w14:solidFill>
                </w14:textFill>
              </w:rPr>
            </w:pPr>
            <w:r>
              <w:rPr>
                <w:rFonts w:hint="eastAsia"/>
                <w:color w:val="000000" w:themeColor="text1"/>
                <w14:textFill>
                  <w14:solidFill>
                    <w14:schemeClr w14:val="tx1"/>
                  </w14:solidFill>
                </w14:textFill>
              </w:rPr>
              <w:t>教辅版本</w:t>
            </w:r>
          </w:p>
        </w:tc>
        <w:tc>
          <w:tcPr>
            <w:tcW w:w="9411" w:type="dxa"/>
            <w:gridSpan w:val="3"/>
            <w:tcBorders>
              <w:tl2br w:val="nil"/>
              <w:tr2bl w:val="nil"/>
            </w:tcBorders>
            <w:vAlign w:val="center"/>
          </w:tcPr>
          <w:p w14:paraId="15D52714">
            <w:pP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广西科学技术出版社</w:t>
            </w:r>
          </w:p>
        </w:tc>
      </w:tr>
      <w:tr w14:paraId="3933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271" w:type="dxa"/>
            <w:tcBorders>
              <w:tl2br w:val="nil"/>
              <w:tr2bl w:val="nil"/>
            </w:tcBorders>
            <w:vAlign w:val="center"/>
          </w:tcPr>
          <w:p w14:paraId="1EBB6F5E">
            <w:pPr>
              <w:rPr>
                <w:color w:val="000000" w:themeColor="text1"/>
                <w14:textFill>
                  <w14:solidFill>
                    <w14:schemeClr w14:val="tx1"/>
                  </w14:solidFill>
                </w14:textFill>
              </w:rPr>
            </w:pPr>
            <w:r>
              <w:rPr>
                <w:rFonts w:hint="eastAsia"/>
                <w:color w:val="000000" w:themeColor="text1"/>
                <w14:textFill>
                  <w14:solidFill>
                    <w14:schemeClr w14:val="tx1"/>
                  </w14:solidFill>
                </w14:textFill>
              </w:rPr>
              <w:t>课题</w:t>
            </w:r>
          </w:p>
        </w:tc>
        <w:tc>
          <w:tcPr>
            <w:tcW w:w="9411" w:type="dxa"/>
            <w:gridSpan w:val="3"/>
            <w:tcBorders>
              <w:tl2br w:val="nil"/>
              <w:tr2bl w:val="nil"/>
            </w:tcBorders>
            <w:vAlign w:val="center"/>
          </w:tcPr>
          <w:p w14:paraId="69914A54">
            <w:pPr>
              <w:rPr>
                <w:color w:val="000000" w:themeColor="text1"/>
                <w14:textFill>
                  <w14:solidFill>
                    <w14:schemeClr w14:val="tx1"/>
                  </w14:solidFill>
                </w14:textFill>
              </w:rPr>
            </w:pPr>
            <w:r>
              <w:rPr>
                <w:rFonts w:hint="eastAsia"/>
                <w:color w:val="000000" w:themeColor="text1"/>
                <w14:textFill>
                  <w14:solidFill>
                    <w14:schemeClr w14:val="tx1"/>
                  </w14:solidFill>
                </w14:textFill>
              </w:rPr>
              <w:t>五年级上册 主题三 用算法解决问题</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任务一 互传密信有诀窍</w:t>
            </w:r>
          </w:p>
        </w:tc>
      </w:tr>
      <w:tr w14:paraId="6C43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0682" w:type="dxa"/>
            <w:gridSpan w:val="4"/>
            <w:tcBorders>
              <w:tl2br w:val="nil"/>
              <w:tr2bl w:val="nil"/>
            </w:tcBorders>
            <w:shd w:val="clear" w:color="auto" w:fill="DAE3F4" w:themeFill="accent1" w:themeFillTint="33"/>
            <w:vAlign w:val="center"/>
          </w:tcPr>
          <w:p w14:paraId="5F1DB53E">
            <w:pPr>
              <w:rPr>
                <w:color w:val="000000" w:themeColor="text1"/>
                <w14:textFill>
                  <w14:solidFill>
                    <w14:schemeClr w14:val="tx1"/>
                  </w14:solidFill>
                </w14:textFill>
              </w:rPr>
            </w:pPr>
            <w:r>
              <w:rPr>
                <w:rFonts w:hint="eastAsia"/>
                <w:color w:val="000000" w:themeColor="text1"/>
                <w14:textFill>
                  <w14:solidFill>
                    <w14:schemeClr w14:val="tx1"/>
                  </w14:solidFill>
                </w14:textFill>
              </w:rPr>
              <w:t>一、教学内容分析</w:t>
            </w:r>
          </w:p>
        </w:tc>
      </w:tr>
      <w:tr w14:paraId="71D9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0682" w:type="dxa"/>
            <w:gridSpan w:val="4"/>
            <w:tcBorders>
              <w:tl2br w:val="nil"/>
              <w:tr2bl w:val="nil"/>
            </w:tcBorders>
            <w:vAlign w:val="center"/>
          </w:tcPr>
          <w:p w14:paraId="56A9567C">
            <w:pPr>
              <w:keepNext w:val="0"/>
              <w:keepLines w:val="0"/>
              <w:widowControl/>
              <w:suppressLineNumbers w:val="0"/>
              <w:ind w:firstLine="420" w:firstLineChars="200"/>
              <w:jc w:val="left"/>
              <w:rPr>
                <w:rFonts w:hint="eastAsia"/>
                <w:lang w:val="en-US" w:eastAsia="zh-CN"/>
              </w:rPr>
            </w:pPr>
            <w:r>
              <w:rPr>
                <w:rFonts w:hint="eastAsia"/>
                <w:lang w:val="en-US" w:eastAsia="zh-CN"/>
              </w:rPr>
              <w:t>本课是五年级上册主题三用“算法解决问题”的第一课，全单元围绕壮壮和小伙伴们设计小程序 “小智” 的主题展开，进一步结合典型问题，运用算法的基本控制结构来解决实际问题。本课聚焦于加密算法在信息安全中的应用。​</w:t>
            </w:r>
          </w:p>
          <w:p w14:paraId="631BA895">
            <w:pPr>
              <w:keepNext w:val="0"/>
              <w:keepLines w:val="0"/>
              <w:widowControl/>
              <w:suppressLineNumbers w:val="0"/>
              <w:ind w:firstLine="420" w:firstLineChars="200"/>
              <w:jc w:val="left"/>
              <w:rPr>
                <w:rFonts w:hint="default" w:eastAsiaTheme="minorEastAsia"/>
                <w:lang w:val="en-US" w:eastAsia="zh-CN"/>
              </w:rPr>
            </w:pPr>
            <w:r>
              <w:rPr>
                <w:rFonts w:hint="eastAsia"/>
                <w:lang w:val="en-US" w:eastAsia="zh-CN"/>
              </w:rPr>
              <w:t>课程通过全单元主题情境导入，引出壮壮团队为 “小智” 设计用户注册账号密码功能时遇到的加密问题，进而介绍凯撒密码这种移位加密算法，包括明文、密文的概念，加密和解密的规则等。随后通过练一练、试一试、做一做、议一议等环节，让学生巩固所学加密算法，体验不同类型信息的移位加密，探讨提升加密算法安全性的方法，并设计自己的加密算法，最终引申出加密算法在保护信息安全方面的意义，增强学生的信息安全意识。</w:t>
            </w:r>
          </w:p>
        </w:tc>
      </w:tr>
      <w:tr w14:paraId="0FB5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682" w:type="dxa"/>
            <w:gridSpan w:val="4"/>
            <w:tcBorders>
              <w:tl2br w:val="nil"/>
              <w:tr2bl w:val="nil"/>
            </w:tcBorders>
            <w:shd w:val="clear" w:color="auto" w:fill="DBE3F4" w:themeFill="accent1" w:themeFillTint="32"/>
            <w:vAlign w:val="center"/>
          </w:tcPr>
          <w:p w14:paraId="42F4B01A">
            <w:r>
              <w:rPr>
                <w:rFonts w:hint="eastAsia"/>
              </w:rPr>
              <w:t>二、学习者特征分析</w:t>
            </w:r>
          </w:p>
        </w:tc>
      </w:tr>
      <w:tr w14:paraId="62A09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9" w:hRule="atLeast"/>
          <w:jc w:val="center"/>
        </w:trPr>
        <w:tc>
          <w:tcPr>
            <w:tcW w:w="10682" w:type="dxa"/>
            <w:gridSpan w:val="4"/>
            <w:tcBorders>
              <w:tl2br w:val="nil"/>
              <w:tr2bl w:val="nil"/>
            </w:tcBorders>
            <w:vAlign w:val="center"/>
          </w:tcPr>
          <w:p w14:paraId="366572E4">
            <w:pPr>
              <w:keepNext w:val="0"/>
              <w:keepLines w:val="0"/>
              <w:widowControl/>
              <w:suppressLineNumbers w:val="0"/>
              <w:ind w:firstLine="420" w:firstLineChars="200"/>
              <w:jc w:val="left"/>
              <w:rPr>
                <w:rFonts w:hint="eastAsia"/>
                <w:lang w:val="en-US" w:eastAsia="zh-CN"/>
              </w:rPr>
            </w:pPr>
            <w:r>
              <w:rPr>
                <w:rFonts w:hint="eastAsia"/>
                <w:lang w:val="en-US" w:eastAsia="zh-CN"/>
              </w:rPr>
              <w:t xml:space="preserve"> 五年级的学生已经具备一定的逻辑思维能力和学习能力，对新鲜事物充满好奇心，尤其是与计算机、网络相关的内容。他们在之前的学习中，已经通过生活实例，认识了算法的三种基本控制结构及其描述的基本方法，为本课学习加密算法奠定了一定的基础。​</w:t>
            </w:r>
          </w:p>
          <w:p w14:paraId="5AC25BEE">
            <w:pPr>
              <w:keepNext w:val="0"/>
              <w:keepLines w:val="0"/>
              <w:widowControl/>
              <w:suppressLineNumbers w:val="0"/>
              <w:ind w:firstLine="420" w:firstLineChars="200"/>
              <w:jc w:val="left"/>
              <w:rPr>
                <w:rFonts w:hint="eastAsia"/>
                <w:lang w:val="en-US" w:eastAsia="zh-CN"/>
              </w:rPr>
            </w:pPr>
            <w:r>
              <w:rPr>
                <w:rFonts w:hint="eastAsia"/>
                <w:lang w:val="en-US" w:eastAsia="zh-CN"/>
              </w:rPr>
              <w:t>在知识储备方面，学生已经掌握了字母表的顺序，对字母的排列有清晰的认识，这有助于他们理解凯撒密码中字母的移位操作。同时，学生在日常生活中可能接触过密码，比如手机密码、游戏密码等，对密码的作用有一定的感知，但对于加密算法的原理了解较少。​</w:t>
            </w:r>
          </w:p>
          <w:p w14:paraId="7F355AE7">
            <w:pPr>
              <w:keepNext w:val="0"/>
              <w:keepLines w:val="0"/>
              <w:widowControl/>
              <w:suppressLineNumbers w:val="0"/>
              <w:ind w:firstLine="420" w:firstLineChars="200"/>
              <w:jc w:val="left"/>
              <w:rPr>
                <w:rFonts w:hint="eastAsia" w:eastAsiaTheme="minorEastAsia"/>
                <w:lang w:eastAsia="zh-CN"/>
              </w:rPr>
            </w:pPr>
            <w:r>
              <w:rPr>
                <w:rFonts w:hint="eastAsia"/>
                <w:lang w:val="en-US" w:eastAsia="zh-CN"/>
              </w:rPr>
              <w:t>在学习特点上，五年级学生喜欢动手操作和实践探究，乐于参与互动性强的学习活动。他们的注意力集中时间有限，因此教学过程中需要采用多样化的教学方法和活动，激发他们的学习兴趣，保持学习的积极性。</w:t>
            </w:r>
          </w:p>
        </w:tc>
      </w:tr>
      <w:tr w14:paraId="019E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0682" w:type="dxa"/>
            <w:gridSpan w:val="4"/>
            <w:tcBorders>
              <w:tl2br w:val="nil"/>
              <w:tr2bl w:val="nil"/>
            </w:tcBorders>
            <w:shd w:val="clear" w:color="auto" w:fill="DBE3F4" w:themeFill="accent1" w:themeFillTint="32"/>
            <w:vAlign w:val="center"/>
          </w:tcPr>
          <w:p w14:paraId="7AC940CC">
            <w:r>
              <w:rPr>
                <w:rFonts w:hint="eastAsia"/>
                <w:color w:val="000000" w:themeColor="text1"/>
                <w14:textFill>
                  <w14:solidFill>
                    <w14:schemeClr w14:val="tx1"/>
                  </w14:solidFill>
                </w14:textFill>
              </w:rPr>
              <w:t>三、教学目标</w:t>
            </w:r>
          </w:p>
        </w:tc>
      </w:tr>
      <w:tr w14:paraId="3114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682" w:type="dxa"/>
            <w:gridSpan w:val="4"/>
            <w:tcBorders>
              <w:tl2br w:val="nil"/>
              <w:tr2bl w:val="nil"/>
            </w:tcBorders>
            <w:vAlign w:val="center"/>
          </w:tcPr>
          <w:p w14:paraId="1C2B5326">
            <w:pPr>
              <w:keepNext w:val="0"/>
              <w:keepLines w:val="0"/>
              <w:widowControl/>
              <w:numPr>
                <w:ilvl w:val="0"/>
                <w:numId w:val="1"/>
              </w:numPr>
              <w:suppressLineNumbers w:val="0"/>
              <w:ind w:left="120" w:leftChars="0" w:firstLine="0" w:firstLineChars="0"/>
              <w:jc w:val="left"/>
              <w:rPr>
                <w:rFonts w:hint="eastAsia"/>
                <w:lang w:val="en-US" w:eastAsia="zh-CN"/>
              </w:rPr>
            </w:pPr>
            <w:r>
              <w:rPr>
                <w:rFonts w:hint="eastAsia"/>
                <w:lang w:val="en-US" w:eastAsia="zh-CN"/>
              </w:rPr>
              <w:t>了解明文、密文的概念，初步了解移位密码的基本规则，能看懂用流程图描述的移位加密算法。（信息意识）</w:t>
            </w:r>
          </w:p>
          <w:p w14:paraId="2F78BB39">
            <w:pPr>
              <w:keepNext w:val="0"/>
              <w:keepLines w:val="0"/>
              <w:widowControl/>
              <w:numPr>
                <w:ilvl w:val="0"/>
                <w:numId w:val="1"/>
              </w:numPr>
              <w:suppressLineNumbers w:val="0"/>
              <w:ind w:left="120" w:leftChars="0" w:firstLine="0" w:firstLineChars="0"/>
              <w:jc w:val="left"/>
              <w:rPr>
                <w:rFonts w:hint="default"/>
                <w:lang w:val="en-US" w:eastAsia="zh-CN"/>
              </w:rPr>
            </w:pPr>
            <w:r>
              <w:rPr>
                <w:rFonts w:hint="default"/>
                <w:lang w:val="en-US" w:eastAsia="zh-CN"/>
              </w:rPr>
              <w:t>能</w:t>
            </w:r>
            <w:r>
              <w:rPr>
                <w:rFonts w:hint="eastAsia"/>
                <w:lang w:val="en-US" w:eastAsia="zh-CN"/>
              </w:rPr>
              <w:t>处理一些简单的</w:t>
            </w:r>
            <w:r>
              <w:rPr>
                <w:rFonts w:hint="default"/>
                <w:lang w:val="en-US" w:eastAsia="zh-CN"/>
              </w:rPr>
              <w:t>加密解密</w:t>
            </w:r>
            <w:r>
              <w:rPr>
                <w:rFonts w:hint="eastAsia"/>
                <w:lang w:val="en-US" w:eastAsia="zh-CN"/>
              </w:rPr>
              <w:t>问题</w:t>
            </w:r>
            <w:r>
              <w:rPr>
                <w:rFonts w:hint="default"/>
                <w:lang w:val="en-US" w:eastAsia="zh-CN"/>
              </w:rPr>
              <w:t>，并能为不同场景下的加密应用提出建议</w:t>
            </w:r>
            <w:r>
              <w:rPr>
                <w:rFonts w:hint="eastAsia"/>
                <w:lang w:val="en-US" w:eastAsia="zh-CN"/>
              </w:rPr>
              <w:t>。（计算思维）</w:t>
            </w:r>
          </w:p>
          <w:p w14:paraId="7511CDF2">
            <w:pPr>
              <w:keepNext w:val="0"/>
              <w:keepLines w:val="0"/>
              <w:widowControl/>
              <w:numPr>
                <w:ilvl w:val="0"/>
                <w:numId w:val="1"/>
              </w:numPr>
              <w:suppressLineNumbers w:val="0"/>
              <w:ind w:left="120" w:leftChars="0" w:firstLine="0" w:firstLineChars="0"/>
              <w:jc w:val="left"/>
              <w:rPr>
                <w:rFonts w:hint="default"/>
                <w:lang w:val="en-US" w:eastAsia="zh-CN"/>
              </w:rPr>
            </w:pPr>
            <w:r>
              <w:rPr>
                <w:rFonts w:hint="eastAsia"/>
                <w:lang w:val="en-US" w:eastAsia="zh-CN"/>
              </w:rPr>
              <w:t>在与他人合作交流中，初步具备数据安全防护能力，了解加密算法在保护信息安全方面的意义。（信息社会责任）</w:t>
            </w:r>
          </w:p>
        </w:tc>
      </w:tr>
      <w:tr w14:paraId="40FA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0682" w:type="dxa"/>
            <w:gridSpan w:val="4"/>
            <w:tcBorders>
              <w:tl2br w:val="nil"/>
              <w:tr2bl w:val="nil"/>
            </w:tcBorders>
            <w:shd w:val="clear" w:color="auto" w:fill="DBE3F4" w:themeFill="accent1" w:themeFillTint="32"/>
            <w:vAlign w:val="center"/>
          </w:tcPr>
          <w:p w14:paraId="70D20987">
            <w:r>
              <w:rPr>
                <w:rFonts w:hint="eastAsia"/>
                <w:color w:val="000000" w:themeColor="text1"/>
                <w:lang w:val="en-US" w:eastAsia="zh-CN"/>
                <w14:textFill>
                  <w14:solidFill>
                    <w14:schemeClr w14:val="tx1"/>
                  </w14:solidFill>
                </w14:textFill>
              </w:rPr>
              <w:t>四</w:t>
            </w:r>
            <w:r>
              <w:rPr>
                <w:rFonts w:hint="eastAsia"/>
                <w:color w:val="000000" w:themeColor="text1"/>
                <w14:textFill>
                  <w14:solidFill>
                    <w14:schemeClr w14:val="tx1"/>
                  </w14:solidFill>
                </w14:textFill>
              </w:rPr>
              <w:t>、教学重难点</w:t>
            </w:r>
          </w:p>
        </w:tc>
      </w:tr>
      <w:tr w14:paraId="55AD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71" w:type="dxa"/>
            <w:tcBorders>
              <w:tl2br w:val="nil"/>
              <w:tr2bl w:val="nil"/>
            </w:tcBorders>
            <w:vAlign w:val="center"/>
          </w:tcPr>
          <w:p w14:paraId="0F2E1453">
            <w:r>
              <w:rPr>
                <w:rFonts w:hint="eastAsia"/>
              </w:rPr>
              <w:t>教学重点</w:t>
            </w:r>
          </w:p>
        </w:tc>
        <w:tc>
          <w:tcPr>
            <w:tcW w:w="9411" w:type="dxa"/>
            <w:gridSpan w:val="3"/>
            <w:tcBorders>
              <w:tl2br w:val="nil"/>
              <w:tr2bl w:val="nil"/>
            </w:tcBorders>
            <w:vAlign w:val="center"/>
          </w:tcPr>
          <w:p w14:paraId="3E85809F">
            <w:pPr>
              <w:jc w:val="left"/>
              <w:rPr>
                <w:rFonts w:hint="default" w:eastAsiaTheme="minorEastAsia"/>
                <w:lang w:val="en-US" w:eastAsia="zh-CN"/>
              </w:rPr>
            </w:pPr>
            <w:r>
              <w:rPr>
                <w:rFonts w:hint="eastAsia"/>
                <w:lang w:val="en-US" w:eastAsia="zh-CN"/>
              </w:rPr>
              <w:t xml:space="preserve"> 初步了解移位密码的基本规则，能看懂用流程图描述的移位加密算法。</w:t>
            </w:r>
          </w:p>
        </w:tc>
      </w:tr>
      <w:tr w14:paraId="5B7B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271" w:type="dxa"/>
            <w:tcBorders>
              <w:tl2br w:val="nil"/>
              <w:tr2bl w:val="nil"/>
            </w:tcBorders>
            <w:vAlign w:val="center"/>
          </w:tcPr>
          <w:p w14:paraId="1B565A0A">
            <w:r>
              <w:rPr>
                <w:rFonts w:hint="eastAsia"/>
              </w:rPr>
              <w:t>教学难点</w:t>
            </w:r>
          </w:p>
        </w:tc>
        <w:tc>
          <w:tcPr>
            <w:tcW w:w="9411" w:type="dxa"/>
            <w:gridSpan w:val="3"/>
            <w:tcBorders>
              <w:tl2br w:val="nil"/>
              <w:tr2bl w:val="nil"/>
            </w:tcBorders>
            <w:vAlign w:val="center"/>
          </w:tcPr>
          <w:p w14:paraId="2C5D9C43">
            <w:pPr>
              <w:jc w:val="left"/>
              <w:rPr>
                <w:rFonts w:hint="eastAsia" w:eastAsiaTheme="minorEastAsia"/>
                <w:lang w:eastAsia="zh-CN"/>
              </w:rPr>
            </w:pPr>
            <w:r>
              <w:rPr>
                <w:rFonts w:hint="eastAsia"/>
                <w:lang w:val="en-US" w:eastAsia="zh-CN"/>
              </w:rPr>
              <w:t xml:space="preserve"> 初步具备数据安全防护能力，了解加密算法在保护信息安全方面的意义。</w:t>
            </w:r>
          </w:p>
        </w:tc>
      </w:tr>
      <w:tr w14:paraId="3B27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0682" w:type="dxa"/>
            <w:gridSpan w:val="4"/>
            <w:tcBorders>
              <w:tl2br w:val="nil"/>
              <w:tr2bl w:val="nil"/>
            </w:tcBorders>
            <w:shd w:val="clear" w:color="auto" w:fill="DBE3F4" w:themeFill="accent1" w:themeFillTint="32"/>
            <w:vAlign w:val="center"/>
          </w:tcPr>
          <w:p w14:paraId="415FD2A3">
            <w:r>
              <w:rPr>
                <w:rFonts w:hint="eastAsia"/>
              </w:rPr>
              <w:t>五、教学方法</w:t>
            </w:r>
          </w:p>
        </w:tc>
      </w:tr>
      <w:tr w14:paraId="67CD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82" w:type="dxa"/>
            <w:gridSpan w:val="4"/>
            <w:tcBorders>
              <w:tl2br w:val="nil"/>
              <w:tr2bl w:val="nil"/>
            </w:tcBorders>
            <w:vAlign w:val="center"/>
          </w:tcPr>
          <w:p w14:paraId="2F3907BD">
            <w:pPr>
              <w:keepNext w:val="0"/>
              <w:keepLines w:val="0"/>
              <w:pageBreakBefore w:val="0"/>
              <w:widowControl w:val="0"/>
              <w:numPr>
                <w:ilvl w:val="0"/>
                <w:numId w:val="2"/>
              </w:numPr>
              <w:kinsoku/>
              <w:wordWrap/>
              <w:overflowPunct/>
              <w:topLinePunct w:val="0"/>
              <w:autoSpaceDE/>
              <w:autoSpaceDN/>
              <w:bidi w:val="0"/>
              <w:adjustRightInd/>
              <w:snapToGrid/>
              <w:jc w:val="both"/>
              <w:textAlignment w:val="auto"/>
              <w:rPr>
                <w:rFonts w:hint="default" w:eastAsiaTheme="minorEastAsia"/>
                <w:lang w:val="en-US" w:eastAsia="zh-CN"/>
              </w:rPr>
            </w:pPr>
            <w:r>
              <w:rPr>
                <w:rFonts w:hint="eastAsia"/>
                <w:lang w:val="en-US" w:eastAsia="zh-CN"/>
              </w:rPr>
              <w:t>教法：情境教学法、讲授演示法、小组讨论法、任务驱动法。</w:t>
            </w:r>
          </w:p>
          <w:p w14:paraId="7775F99A">
            <w:pPr>
              <w:keepNext w:val="0"/>
              <w:keepLines w:val="0"/>
              <w:pageBreakBefore w:val="0"/>
              <w:widowControl w:val="0"/>
              <w:numPr>
                <w:ilvl w:val="0"/>
                <w:numId w:val="2"/>
              </w:numPr>
              <w:kinsoku/>
              <w:wordWrap/>
              <w:overflowPunct/>
              <w:topLinePunct w:val="0"/>
              <w:autoSpaceDE/>
              <w:autoSpaceDN/>
              <w:bidi w:val="0"/>
              <w:adjustRightInd/>
              <w:snapToGrid/>
              <w:jc w:val="both"/>
              <w:textAlignment w:val="auto"/>
              <w:rPr>
                <w:rFonts w:hint="default" w:eastAsiaTheme="minorEastAsia"/>
                <w:lang w:val="en-US" w:eastAsia="zh-CN"/>
              </w:rPr>
            </w:pPr>
            <w:r>
              <w:rPr>
                <w:rFonts w:hint="eastAsia"/>
                <w:lang w:val="en-US" w:eastAsia="zh-CN"/>
              </w:rPr>
              <w:t>学法：自主探究法、合作学习法、实践操作法。</w:t>
            </w:r>
          </w:p>
        </w:tc>
      </w:tr>
      <w:tr w14:paraId="3CC9D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682" w:type="dxa"/>
            <w:gridSpan w:val="4"/>
            <w:tcBorders>
              <w:tl2br w:val="nil"/>
              <w:tr2bl w:val="nil"/>
            </w:tcBorders>
            <w:shd w:val="clear" w:color="auto" w:fill="DBE3F4" w:themeFill="accent1" w:themeFillTint="32"/>
            <w:vAlign w:val="center"/>
          </w:tcPr>
          <w:p w14:paraId="07B8D45B">
            <w:r>
              <w:rPr>
                <w:rFonts w:hint="eastAsia"/>
              </w:rPr>
              <w:t>六、教学环境及资源准备</w:t>
            </w:r>
          </w:p>
        </w:tc>
      </w:tr>
      <w:tr w14:paraId="63E3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682" w:type="dxa"/>
            <w:gridSpan w:val="4"/>
            <w:tcBorders>
              <w:tl2br w:val="nil"/>
              <w:tr2bl w:val="nil"/>
            </w:tcBorders>
            <w:vAlign w:val="center"/>
          </w:tcPr>
          <w:p w14:paraId="17B86268">
            <w:pPr>
              <w:numPr>
                <w:ilvl w:val="0"/>
                <w:numId w:val="3"/>
              </w:numPr>
              <w:jc w:val="both"/>
              <w:rPr>
                <w:rFonts w:hint="eastAsia"/>
                <w:lang w:val="en-US" w:eastAsia="zh-CN"/>
              </w:rPr>
            </w:pPr>
            <w:r>
              <w:rPr>
                <w:rFonts w:hint="eastAsia"/>
                <w:lang w:val="en-US" w:eastAsia="zh-CN"/>
              </w:rPr>
              <w:t>教学环境： 多媒体教室，能播放PPT即可。</w:t>
            </w:r>
          </w:p>
          <w:p w14:paraId="1ED59AC7">
            <w:pPr>
              <w:numPr>
                <w:ilvl w:val="0"/>
                <w:numId w:val="3"/>
              </w:numPr>
              <w:jc w:val="both"/>
              <w:rPr>
                <w:rFonts w:hint="eastAsia" w:eastAsiaTheme="minorEastAsia"/>
                <w:lang w:val="en-US" w:eastAsia="zh-CN"/>
              </w:rPr>
            </w:pPr>
            <w:r>
              <w:rPr>
                <w:rFonts w:hint="eastAsia"/>
                <w:lang w:val="en-US" w:eastAsia="zh-CN"/>
              </w:rPr>
              <w:t>教学资源： 多媒体课件，广西科学技术出版社《信息科技实践指导手册》五年级上册。</w:t>
            </w:r>
          </w:p>
        </w:tc>
      </w:tr>
      <w:tr w14:paraId="6992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0682" w:type="dxa"/>
            <w:gridSpan w:val="4"/>
            <w:tcBorders>
              <w:tl2br w:val="nil"/>
              <w:tr2bl w:val="nil"/>
            </w:tcBorders>
            <w:shd w:val="clear" w:color="auto" w:fill="DBE3F4" w:themeFill="accent1" w:themeFillTint="32"/>
            <w:vAlign w:val="center"/>
          </w:tcPr>
          <w:p w14:paraId="2D682D03">
            <w:r>
              <w:rPr>
                <w:rFonts w:hint="eastAsia"/>
              </w:rPr>
              <w:t>七、教学过程</w:t>
            </w:r>
          </w:p>
        </w:tc>
      </w:tr>
      <w:tr w14:paraId="63503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71" w:type="dxa"/>
            <w:tcBorders>
              <w:tl2br w:val="nil"/>
              <w:tr2bl w:val="nil"/>
            </w:tcBorders>
            <w:shd w:val="clear" w:color="auto" w:fill="FFFFFF"/>
            <w:vAlign w:val="center"/>
          </w:tcPr>
          <w:p w14:paraId="00E34A17">
            <w:r>
              <w:rPr>
                <w:rFonts w:hint="eastAsia"/>
              </w:rPr>
              <w:t>教学环节</w:t>
            </w:r>
          </w:p>
        </w:tc>
        <w:tc>
          <w:tcPr>
            <w:tcW w:w="5084" w:type="dxa"/>
            <w:tcBorders>
              <w:tl2br w:val="nil"/>
              <w:tr2bl w:val="nil"/>
            </w:tcBorders>
            <w:shd w:val="clear" w:color="auto" w:fill="FFFFFF"/>
            <w:vAlign w:val="center"/>
          </w:tcPr>
          <w:p w14:paraId="29C9DAFE">
            <w:r>
              <w:rPr>
                <w:rFonts w:hint="eastAsia"/>
              </w:rPr>
              <w:t>教师活动</w:t>
            </w:r>
          </w:p>
        </w:tc>
        <w:tc>
          <w:tcPr>
            <w:tcW w:w="1755" w:type="dxa"/>
            <w:tcBorders>
              <w:tl2br w:val="nil"/>
              <w:tr2bl w:val="nil"/>
            </w:tcBorders>
            <w:shd w:val="clear" w:color="auto" w:fill="FFFFFF"/>
            <w:vAlign w:val="center"/>
          </w:tcPr>
          <w:p w14:paraId="0CE887B6">
            <w:r>
              <w:rPr>
                <w:rFonts w:hint="eastAsia"/>
              </w:rPr>
              <w:t>学生活动</w:t>
            </w:r>
          </w:p>
        </w:tc>
        <w:tc>
          <w:tcPr>
            <w:tcW w:w="2572" w:type="dxa"/>
            <w:tcBorders>
              <w:tl2br w:val="nil"/>
              <w:tr2bl w:val="nil"/>
            </w:tcBorders>
            <w:shd w:val="clear" w:color="auto" w:fill="FFFFFF"/>
            <w:vAlign w:val="center"/>
          </w:tcPr>
          <w:p w14:paraId="6F8C3A5F">
            <w:r>
              <w:rPr>
                <w:rFonts w:hint="eastAsia"/>
              </w:rPr>
              <w:t>设计意图</w:t>
            </w:r>
          </w:p>
        </w:tc>
      </w:tr>
      <w:tr w14:paraId="04059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1" w:hRule="atLeast"/>
          <w:jc w:val="center"/>
        </w:trPr>
        <w:tc>
          <w:tcPr>
            <w:tcW w:w="1271" w:type="dxa"/>
            <w:tcBorders>
              <w:tl2br w:val="nil"/>
              <w:tr2bl w:val="nil"/>
            </w:tcBorders>
            <w:shd w:val="clear" w:color="auto" w:fill="auto"/>
            <w:vAlign w:val="center"/>
          </w:tcPr>
          <w:p w14:paraId="30A6628F">
            <w:pPr>
              <w:rPr>
                <w:rFonts w:hint="eastAsia" w:ascii="宋体" w:hAnsi="宋体" w:eastAsia="宋体" w:cs="宋体"/>
                <w:sz w:val="21"/>
                <w:szCs w:val="21"/>
              </w:rPr>
            </w:pPr>
          </w:p>
          <w:p w14:paraId="412A3975">
            <w:pPr>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一</w:t>
            </w:r>
            <w:r>
              <w:rPr>
                <w:rFonts w:hint="eastAsia" w:ascii="宋体" w:hAnsi="宋体" w:eastAsia="宋体" w:cs="宋体"/>
                <w:sz w:val="21"/>
                <w:szCs w:val="21"/>
                <w:lang w:eastAsia="zh-CN"/>
              </w:rPr>
              <w:t>）</w:t>
            </w:r>
          </w:p>
          <w:p w14:paraId="6C30D821">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情境导入（3分钟）</w:t>
            </w:r>
          </w:p>
        </w:tc>
        <w:tc>
          <w:tcPr>
            <w:tcW w:w="5084" w:type="dxa"/>
            <w:tcBorders>
              <w:tl2br w:val="nil"/>
              <w:tr2bl w:val="nil"/>
            </w:tcBorders>
            <w:shd w:val="clear" w:color="auto" w:fill="auto"/>
            <w:vAlign w:val="top"/>
          </w:tcPr>
          <w:p w14:paraId="5F472092">
            <w:pPr>
              <w:numPr>
                <w:ilvl w:val="0"/>
                <w:numId w:val="4"/>
              </w:numPr>
              <w:jc w:val="both"/>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展示全单元主题情境：“同学们，壮壮和小伙伴们决定运用算法设计一款可以查询时间且能与人互动的小程序‘小智’。在设计过程中，他们学会了运用加密算法保护信息安全，用二分法快速猜数，用多分支结构判断闰年与平年…… 今天，我们就来看看他们在设计‘小智’的过程中，遇到了哪些关于加密的问题，又学到了哪些加密的诀窍。”</w:t>
            </w:r>
            <w:r>
              <w:rPr>
                <w:rFonts w:hint="eastAsia" w:ascii="宋体" w:hAnsi="宋体" w:eastAsia="宋体" w:cs="宋体"/>
                <w:sz w:val="21"/>
                <w:szCs w:val="21"/>
                <w:lang w:val="en-US" w:eastAsia="zh-CN"/>
              </w:rPr>
              <w:t>【出示课题】</w:t>
            </w:r>
          </w:p>
          <w:p w14:paraId="7CB1323F">
            <w:pPr>
              <w:numPr>
                <w:ilvl w:val="0"/>
                <w:numId w:val="4"/>
              </w:numPr>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展示本课的情景：“壮壮团队首先为‘小智’设计用户注册账号并设置密码的功能。壮壮试用时将密码设置成‘zhuang’，经过计算机加密处理后，后台存储密码的信息变成了‘ckxdqj’，大家知道这是为什么吗？”</w:t>
            </w:r>
          </w:p>
        </w:tc>
        <w:tc>
          <w:tcPr>
            <w:tcW w:w="1755" w:type="dxa"/>
            <w:tcBorders>
              <w:tl2br w:val="nil"/>
              <w:tr2bl w:val="nil"/>
            </w:tcBorders>
            <w:shd w:val="clear" w:color="auto" w:fill="auto"/>
            <w:vAlign w:val="top"/>
          </w:tcPr>
          <w:p w14:paraId="41C794B9">
            <w:pPr>
              <w:jc w:val="both"/>
              <w:rPr>
                <w:rFonts w:hint="eastAsia" w:ascii="宋体" w:hAnsi="宋体" w:eastAsia="宋体" w:cs="宋体"/>
                <w:sz w:val="21"/>
                <w:szCs w:val="21"/>
              </w:rPr>
            </w:pPr>
            <w:r>
              <w:rPr>
                <w:rFonts w:hint="eastAsia" w:ascii="宋体" w:hAnsi="宋体" w:eastAsia="宋体" w:cs="宋体"/>
                <w:sz w:val="21"/>
                <w:szCs w:val="21"/>
              </w:rPr>
              <w:t>认真倾听教师讲述，观看多媒体课件，对情境产生兴趣。</w:t>
            </w:r>
          </w:p>
          <w:p w14:paraId="2348EF13">
            <w:pPr>
              <w:jc w:val="both"/>
              <w:rPr>
                <w:rFonts w:hint="eastAsia" w:ascii="宋体" w:hAnsi="宋体" w:eastAsia="宋体" w:cs="宋体"/>
                <w:sz w:val="21"/>
                <w:szCs w:val="21"/>
              </w:rPr>
            </w:pPr>
          </w:p>
          <w:p w14:paraId="3D97A6A6">
            <w:pPr>
              <w:jc w:val="both"/>
              <w:rPr>
                <w:rFonts w:hint="eastAsia" w:ascii="宋体" w:hAnsi="宋体" w:eastAsia="宋体" w:cs="宋体"/>
                <w:sz w:val="21"/>
                <w:szCs w:val="21"/>
              </w:rPr>
            </w:pPr>
          </w:p>
          <w:p w14:paraId="439991BA">
            <w:pPr>
              <w:jc w:val="both"/>
              <w:rPr>
                <w:rFonts w:hint="eastAsia" w:ascii="宋体" w:hAnsi="宋体" w:eastAsia="宋体" w:cs="宋体"/>
                <w:sz w:val="21"/>
                <w:szCs w:val="21"/>
              </w:rPr>
            </w:pPr>
          </w:p>
          <w:p w14:paraId="7FBE6FBA">
            <w:pPr>
              <w:jc w:val="both"/>
              <w:rPr>
                <w:rFonts w:hint="eastAsia" w:ascii="宋体" w:hAnsi="宋体" w:eastAsia="宋体" w:cs="宋体"/>
                <w:sz w:val="21"/>
                <w:szCs w:val="21"/>
              </w:rPr>
            </w:pPr>
            <w:r>
              <w:rPr>
                <w:rFonts w:hint="eastAsia" w:ascii="宋体" w:hAnsi="宋体" w:eastAsia="宋体" w:cs="宋体"/>
                <w:sz w:val="21"/>
                <w:szCs w:val="21"/>
              </w:rPr>
              <w:t>思考教师提出的问题，积极参与课堂互动。</w:t>
            </w:r>
          </w:p>
        </w:tc>
        <w:tc>
          <w:tcPr>
            <w:tcW w:w="2572" w:type="dxa"/>
            <w:tcBorders>
              <w:tl2br w:val="nil"/>
              <w:tr2bl w:val="nil"/>
            </w:tcBorders>
            <w:shd w:val="clear" w:color="auto" w:fill="auto"/>
            <w:vAlign w:val="top"/>
          </w:tcPr>
          <w:p w14:paraId="7B4E5B30">
            <w:pPr>
              <w:keepNext w:val="0"/>
              <w:keepLines w:val="0"/>
              <w:pageBreakBefore w:val="0"/>
              <w:widowControl/>
              <w:suppressLineNumbers w:val="0"/>
              <w:kinsoku/>
              <w:wordWrap/>
              <w:overflowPunct/>
              <w:topLinePunct w:val="0"/>
              <w:autoSpaceDE/>
              <w:autoSpaceDN/>
              <w:bidi w:val="0"/>
              <w:adjustRightInd/>
              <w:snapToGrid/>
              <w:spacing w:line="420" w:lineRule="exact"/>
              <w:jc w:val="both"/>
              <w:textAlignment w:val="auto"/>
              <w:rPr>
                <w:rFonts w:hint="eastAsia" w:ascii="宋体" w:hAnsi="宋体" w:eastAsia="宋体" w:cs="宋体"/>
                <w:sz w:val="21"/>
                <w:szCs w:val="21"/>
              </w:rPr>
            </w:pPr>
            <w:r>
              <w:rPr>
                <w:rFonts w:hint="eastAsia" w:ascii="宋体" w:hAnsi="宋体" w:eastAsia="宋体" w:cs="宋体"/>
                <w:sz w:val="21"/>
                <w:szCs w:val="21"/>
              </w:rPr>
              <w:t>创设生动的情境，激发学生的学习兴趣，让学生对本课的学习内容产生好奇，为后续学习做好铺垫。</w:t>
            </w:r>
          </w:p>
          <w:p w14:paraId="0B98E425">
            <w:pPr>
              <w:keepNext w:val="0"/>
              <w:keepLines w:val="0"/>
              <w:pageBreakBefore w:val="0"/>
              <w:widowControl/>
              <w:suppressLineNumbers w:val="0"/>
              <w:kinsoku/>
              <w:wordWrap/>
              <w:overflowPunct/>
              <w:topLinePunct w:val="0"/>
              <w:autoSpaceDE/>
              <w:autoSpaceDN/>
              <w:bidi w:val="0"/>
              <w:adjustRightInd/>
              <w:snapToGrid/>
              <w:spacing w:line="420" w:lineRule="exact"/>
              <w:jc w:val="both"/>
              <w:textAlignment w:val="auto"/>
              <w:rPr>
                <w:rFonts w:hint="eastAsia" w:ascii="宋体" w:hAnsi="宋体" w:eastAsia="宋体" w:cs="宋体"/>
                <w:sz w:val="21"/>
                <w:szCs w:val="21"/>
              </w:rPr>
            </w:pPr>
          </w:p>
          <w:p w14:paraId="308AB546">
            <w:pPr>
              <w:keepNext w:val="0"/>
              <w:keepLines w:val="0"/>
              <w:pageBreakBefore w:val="0"/>
              <w:widowControl/>
              <w:suppressLineNumbers w:val="0"/>
              <w:kinsoku/>
              <w:wordWrap/>
              <w:overflowPunct/>
              <w:topLinePunct w:val="0"/>
              <w:autoSpaceDE/>
              <w:autoSpaceDN/>
              <w:bidi w:val="0"/>
              <w:adjustRightInd/>
              <w:snapToGrid/>
              <w:spacing w:line="420" w:lineRule="exact"/>
              <w:jc w:val="both"/>
              <w:textAlignment w:val="auto"/>
              <w:rPr>
                <w:rFonts w:hint="eastAsia" w:ascii="宋体" w:hAnsi="宋体" w:eastAsia="宋体" w:cs="宋体"/>
                <w:sz w:val="21"/>
                <w:szCs w:val="21"/>
              </w:rPr>
            </w:pPr>
          </w:p>
          <w:p w14:paraId="604FF1AD">
            <w:pPr>
              <w:keepNext w:val="0"/>
              <w:keepLines w:val="0"/>
              <w:pageBreakBefore w:val="0"/>
              <w:widowControl/>
              <w:suppressLineNumbers w:val="0"/>
              <w:kinsoku/>
              <w:wordWrap/>
              <w:overflowPunct/>
              <w:topLinePunct w:val="0"/>
              <w:autoSpaceDE/>
              <w:autoSpaceDN/>
              <w:bidi w:val="0"/>
              <w:adjustRightInd/>
              <w:snapToGrid/>
              <w:spacing w:line="420" w:lineRule="exact"/>
              <w:jc w:val="both"/>
              <w:textAlignment w:val="auto"/>
              <w:rPr>
                <w:rFonts w:hint="eastAsia" w:ascii="宋体" w:hAnsi="宋体" w:eastAsia="宋体" w:cs="宋体"/>
                <w:sz w:val="21"/>
                <w:szCs w:val="21"/>
              </w:rPr>
            </w:pPr>
          </w:p>
          <w:p w14:paraId="25A46770">
            <w:pPr>
              <w:keepNext w:val="0"/>
              <w:keepLines w:val="0"/>
              <w:pageBreakBefore w:val="0"/>
              <w:widowControl/>
              <w:suppressLineNumbers w:val="0"/>
              <w:kinsoku/>
              <w:wordWrap/>
              <w:overflowPunct/>
              <w:topLinePunct w:val="0"/>
              <w:autoSpaceDE/>
              <w:autoSpaceDN/>
              <w:bidi w:val="0"/>
              <w:adjustRightInd/>
              <w:snapToGrid/>
              <w:spacing w:line="420" w:lineRule="exact"/>
              <w:jc w:val="both"/>
              <w:textAlignment w:val="auto"/>
              <w:rPr>
                <w:rFonts w:hint="eastAsia" w:ascii="宋体" w:hAnsi="宋体" w:eastAsia="宋体" w:cs="宋体"/>
                <w:sz w:val="21"/>
                <w:szCs w:val="21"/>
              </w:rPr>
            </w:pPr>
          </w:p>
          <w:p w14:paraId="0ACAF7A8">
            <w:pPr>
              <w:keepNext w:val="0"/>
              <w:keepLines w:val="0"/>
              <w:pageBreakBefore w:val="0"/>
              <w:widowControl/>
              <w:suppressLineNumbers w:val="0"/>
              <w:kinsoku/>
              <w:wordWrap/>
              <w:overflowPunct/>
              <w:topLinePunct w:val="0"/>
              <w:autoSpaceDE/>
              <w:autoSpaceDN/>
              <w:bidi w:val="0"/>
              <w:adjustRightInd/>
              <w:snapToGrid/>
              <w:spacing w:line="420" w:lineRule="exact"/>
              <w:jc w:val="both"/>
              <w:textAlignment w:val="auto"/>
              <w:rPr>
                <w:rFonts w:hint="eastAsia" w:ascii="宋体" w:hAnsi="宋体" w:eastAsia="宋体" w:cs="宋体"/>
                <w:sz w:val="21"/>
                <w:szCs w:val="21"/>
              </w:rPr>
            </w:pPr>
            <w:r>
              <w:rPr>
                <w:rFonts w:hint="eastAsia" w:ascii="宋体" w:hAnsi="宋体" w:eastAsia="宋体" w:cs="宋体"/>
                <w:sz w:val="21"/>
                <w:szCs w:val="21"/>
              </w:rPr>
              <w:t>通过问题引导学生思考，激发他们探究加密奥秘的欲望，自然过渡到本节课的学习内容。</w:t>
            </w:r>
          </w:p>
        </w:tc>
      </w:tr>
      <w:tr w14:paraId="0C26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71" w:type="dxa"/>
            <w:tcBorders>
              <w:tl2br w:val="nil"/>
              <w:tr2bl w:val="nil"/>
            </w:tcBorders>
            <w:shd w:val="clear" w:color="auto" w:fill="auto"/>
            <w:vAlign w:val="center"/>
          </w:tcPr>
          <w:p w14:paraId="099047B6">
            <w:pPr>
              <w:rPr>
                <w:rFonts w:hint="default"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二</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认识简单的移位加密算法（8分钟）</w:t>
            </w:r>
          </w:p>
        </w:tc>
        <w:tc>
          <w:tcPr>
            <w:tcW w:w="5084" w:type="dxa"/>
            <w:tcBorders>
              <w:tl2br w:val="nil"/>
              <w:tr2bl w:val="nil"/>
            </w:tcBorders>
            <w:shd w:val="clear" w:color="auto" w:fill="auto"/>
            <w:vAlign w:val="top"/>
          </w:tcPr>
          <w:p w14:paraId="5EFFB408">
            <w:pPr>
              <w:numPr>
                <w:ilvl w:val="0"/>
                <w:numId w:val="0"/>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讲解明文和密文的概念，介绍凯撒密码，结合课件动画效果与字母表卡片详细讲解加密规则。【课件演示加密与解密过程】</w:t>
            </w:r>
          </w:p>
          <w:p w14:paraId="7661C08F">
            <w:pPr>
              <w:numPr>
                <w:ilvl w:val="0"/>
                <w:numId w:val="0"/>
              </w:numPr>
              <w:jc w:val="both"/>
              <w:rPr>
                <w:rFonts w:hint="eastAsia" w:ascii="宋体" w:hAnsi="宋体" w:eastAsia="宋体" w:cs="宋体"/>
                <w:sz w:val="21"/>
                <w:szCs w:val="21"/>
                <w:lang w:val="en-US" w:eastAsia="zh-CN"/>
              </w:rPr>
            </w:pPr>
          </w:p>
          <w:p w14:paraId="14D6D9E1">
            <w:pPr>
              <w:numPr>
                <w:ilvl w:val="0"/>
                <w:numId w:val="0"/>
              </w:numPr>
              <w:jc w:val="both"/>
              <w:rPr>
                <w:rFonts w:hint="eastAsia" w:ascii="宋体" w:hAnsi="宋体" w:eastAsia="宋体" w:cs="宋体"/>
                <w:sz w:val="21"/>
                <w:szCs w:val="21"/>
                <w:lang w:val="en-US" w:eastAsia="zh-CN"/>
              </w:rPr>
            </w:pPr>
          </w:p>
          <w:p w14:paraId="74A76508">
            <w:pPr>
              <w:numPr>
                <w:ilvl w:val="0"/>
                <w:numId w:val="0"/>
              </w:numPr>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 组织同学们完成《信息科技实践指导手册》上的练一练，巡视指导学生完成练习题情况。</w:t>
            </w:r>
          </w:p>
          <w:p w14:paraId="7493AB6F">
            <w:pPr>
              <w:numPr>
                <w:ilvl w:val="0"/>
                <w:numId w:val="0"/>
              </w:numPr>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 请学生上台展示自己的答案，进行师生、生生互评。</w:t>
            </w:r>
          </w:p>
        </w:tc>
        <w:tc>
          <w:tcPr>
            <w:tcW w:w="1755" w:type="dxa"/>
            <w:tcBorders>
              <w:tl2br w:val="nil"/>
              <w:tr2bl w:val="nil"/>
            </w:tcBorders>
            <w:shd w:val="clear" w:color="auto" w:fill="auto"/>
            <w:vAlign w:val="top"/>
          </w:tcPr>
          <w:p w14:paraId="2B90ED22">
            <w:pPr>
              <w:keepNext w:val="0"/>
              <w:keepLines w:val="0"/>
              <w:widowControl/>
              <w:suppressLineNumbers w:val="0"/>
              <w:jc w:val="both"/>
              <w:rPr>
                <w:rFonts w:hint="eastAsia" w:ascii="宋体" w:hAnsi="宋体" w:eastAsia="宋体" w:cs="宋体"/>
                <w:sz w:val="21"/>
                <w:szCs w:val="21"/>
              </w:rPr>
            </w:pPr>
            <w:r>
              <w:rPr>
                <w:rFonts w:hint="eastAsia" w:ascii="宋体" w:hAnsi="宋体" w:eastAsia="宋体" w:cs="宋体"/>
                <w:sz w:val="21"/>
                <w:szCs w:val="21"/>
              </w:rPr>
              <w:t>认真听讲，观看演示，及时提问。</w:t>
            </w:r>
          </w:p>
          <w:p w14:paraId="66955180">
            <w:pPr>
              <w:keepNext w:val="0"/>
              <w:keepLines w:val="0"/>
              <w:widowControl/>
              <w:suppressLineNumbers w:val="0"/>
              <w:jc w:val="both"/>
              <w:rPr>
                <w:rFonts w:hint="eastAsia" w:ascii="宋体" w:hAnsi="宋体" w:eastAsia="宋体" w:cs="宋体"/>
                <w:sz w:val="21"/>
                <w:szCs w:val="21"/>
              </w:rPr>
            </w:pPr>
          </w:p>
          <w:p w14:paraId="465E87FF">
            <w:pPr>
              <w:keepNext w:val="0"/>
              <w:keepLines w:val="0"/>
              <w:widowControl/>
              <w:suppressLineNumbers w:val="0"/>
              <w:jc w:val="both"/>
              <w:rPr>
                <w:rFonts w:hint="eastAsia" w:ascii="宋体" w:hAnsi="宋体" w:eastAsia="宋体" w:cs="宋体"/>
                <w:sz w:val="21"/>
                <w:szCs w:val="21"/>
              </w:rPr>
            </w:pPr>
          </w:p>
          <w:p w14:paraId="58BDE353">
            <w:pPr>
              <w:keepNext w:val="0"/>
              <w:keepLines w:val="0"/>
              <w:widowControl/>
              <w:suppressLineNumbers w:val="0"/>
              <w:jc w:val="both"/>
              <w:rPr>
                <w:rFonts w:hint="eastAsia" w:ascii="宋体" w:hAnsi="宋体" w:eastAsia="宋体" w:cs="宋体"/>
                <w:sz w:val="21"/>
                <w:szCs w:val="21"/>
              </w:rPr>
            </w:pPr>
          </w:p>
          <w:p w14:paraId="157F0CC5">
            <w:pPr>
              <w:keepNext w:val="0"/>
              <w:keepLines w:val="0"/>
              <w:widowControl/>
              <w:suppressLineNumbers w:val="0"/>
              <w:jc w:val="both"/>
              <w:rPr>
                <w:rFonts w:hint="eastAsia" w:ascii="宋体" w:hAnsi="宋体" w:eastAsia="宋体" w:cs="宋体"/>
                <w:sz w:val="21"/>
                <w:szCs w:val="21"/>
              </w:rPr>
            </w:pPr>
            <w:r>
              <w:rPr>
                <w:rFonts w:hint="eastAsia" w:ascii="宋体" w:hAnsi="宋体" w:eastAsia="宋体" w:cs="宋体"/>
                <w:sz w:val="21"/>
                <w:szCs w:val="21"/>
              </w:rPr>
              <w:t>独立</w:t>
            </w:r>
            <w:r>
              <w:rPr>
                <w:rFonts w:hint="eastAsia" w:ascii="宋体" w:hAnsi="宋体" w:eastAsia="宋体" w:cs="宋体"/>
                <w:sz w:val="21"/>
                <w:szCs w:val="21"/>
                <w:lang w:val="en-US" w:eastAsia="zh-CN"/>
              </w:rPr>
              <w:t>思考</w:t>
            </w:r>
            <w:r>
              <w:rPr>
                <w:rFonts w:hint="eastAsia" w:ascii="宋体" w:hAnsi="宋体" w:eastAsia="宋体" w:cs="宋体"/>
                <w:sz w:val="21"/>
                <w:szCs w:val="21"/>
              </w:rPr>
              <w:t>完成练习题。</w:t>
            </w:r>
          </w:p>
          <w:p w14:paraId="44E05CAF">
            <w:pPr>
              <w:keepNext w:val="0"/>
              <w:keepLines w:val="0"/>
              <w:widowControl/>
              <w:suppressLineNumbers w:val="0"/>
              <w:jc w:val="both"/>
              <w:rPr>
                <w:rFonts w:hint="eastAsia" w:ascii="宋体" w:hAnsi="宋体" w:eastAsia="宋体" w:cs="宋体"/>
                <w:sz w:val="21"/>
                <w:szCs w:val="21"/>
              </w:rPr>
            </w:pPr>
            <w:r>
              <w:rPr>
                <w:rFonts w:hint="eastAsia" w:ascii="宋体" w:hAnsi="宋体" w:eastAsia="宋体" w:cs="宋体"/>
                <w:sz w:val="21"/>
                <w:szCs w:val="21"/>
              </w:rPr>
              <w:t>积极上台展示，</w:t>
            </w:r>
            <w:r>
              <w:rPr>
                <w:rFonts w:hint="eastAsia" w:ascii="宋体" w:hAnsi="宋体" w:eastAsia="宋体" w:cs="宋体"/>
                <w:sz w:val="21"/>
                <w:szCs w:val="21"/>
                <w:lang w:val="en-US" w:eastAsia="zh-CN"/>
              </w:rPr>
              <w:t>参与自评互评</w:t>
            </w:r>
            <w:r>
              <w:rPr>
                <w:rFonts w:hint="eastAsia" w:ascii="宋体" w:hAnsi="宋体" w:eastAsia="宋体" w:cs="宋体"/>
                <w:sz w:val="21"/>
                <w:szCs w:val="21"/>
              </w:rPr>
              <w:t>。</w:t>
            </w:r>
          </w:p>
        </w:tc>
        <w:tc>
          <w:tcPr>
            <w:tcW w:w="2572" w:type="dxa"/>
            <w:tcBorders>
              <w:tl2br w:val="nil"/>
              <w:tr2bl w:val="nil"/>
            </w:tcBorders>
            <w:shd w:val="clear" w:color="auto" w:fill="auto"/>
            <w:vAlign w:val="top"/>
          </w:tcPr>
          <w:p w14:paraId="2FB08A30">
            <w:pPr>
              <w:keepNext w:val="0"/>
              <w:keepLines w:val="0"/>
              <w:widowControl/>
              <w:suppressLineNumbers w:val="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通过讲解和</w:t>
            </w:r>
            <w:r>
              <w:rPr>
                <w:rFonts w:hint="eastAsia" w:ascii="宋体" w:hAnsi="宋体" w:eastAsia="宋体" w:cs="宋体"/>
                <w:b w:val="0"/>
                <w:bCs w:val="0"/>
                <w:sz w:val="21"/>
                <w:szCs w:val="21"/>
                <w:lang w:val="en-US" w:eastAsia="zh-CN"/>
              </w:rPr>
              <w:t>动画</w:t>
            </w:r>
            <w:r>
              <w:rPr>
                <w:rFonts w:hint="eastAsia" w:ascii="宋体" w:hAnsi="宋体" w:eastAsia="宋体" w:cs="宋体"/>
                <w:b w:val="0"/>
                <w:bCs w:val="0"/>
                <w:sz w:val="21"/>
                <w:szCs w:val="21"/>
              </w:rPr>
              <w:t>演示突破教学重点，</w:t>
            </w:r>
            <w:r>
              <w:rPr>
                <w:rFonts w:hint="eastAsia" w:ascii="宋体" w:hAnsi="宋体" w:eastAsia="宋体" w:cs="宋体"/>
                <w:b w:val="0"/>
                <w:bCs w:val="0"/>
                <w:sz w:val="21"/>
                <w:szCs w:val="21"/>
                <w:lang w:val="en-US" w:eastAsia="zh-CN"/>
              </w:rPr>
              <w:t>帮助</w:t>
            </w:r>
            <w:r>
              <w:rPr>
                <w:rFonts w:hint="eastAsia" w:ascii="宋体" w:hAnsi="宋体" w:eastAsia="宋体" w:cs="宋体"/>
                <w:b w:val="0"/>
                <w:bCs w:val="0"/>
                <w:sz w:val="21"/>
                <w:szCs w:val="21"/>
              </w:rPr>
              <w:t>学生理解凯撒密码的加密和解密规则，为后续的练习和实践奠定基础。</w:t>
            </w:r>
          </w:p>
          <w:p w14:paraId="5DB83D88">
            <w:pPr>
              <w:keepNext w:val="0"/>
              <w:keepLines w:val="0"/>
              <w:widowControl/>
              <w:suppressLineNumbers w:val="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通过练习，巩固所学的加密和解密规则，加深对知识的理解和运用，</w:t>
            </w:r>
            <w:r>
              <w:rPr>
                <w:rFonts w:hint="eastAsia" w:ascii="宋体" w:hAnsi="宋体" w:eastAsia="宋体" w:cs="宋体"/>
                <w:b w:val="0"/>
                <w:bCs w:val="0"/>
                <w:sz w:val="21"/>
                <w:szCs w:val="21"/>
                <w:lang w:val="en-US" w:eastAsia="zh-CN"/>
              </w:rPr>
              <w:t>训练计算思维</w:t>
            </w:r>
            <w:r>
              <w:rPr>
                <w:rFonts w:hint="eastAsia" w:ascii="宋体" w:hAnsi="宋体" w:eastAsia="宋体" w:cs="宋体"/>
                <w:b w:val="0"/>
                <w:bCs w:val="0"/>
                <w:sz w:val="21"/>
                <w:szCs w:val="21"/>
              </w:rPr>
              <w:t>。</w:t>
            </w:r>
          </w:p>
        </w:tc>
      </w:tr>
      <w:tr w14:paraId="777D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2" w:hRule="atLeast"/>
          <w:jc w:val="center"/>
        </w:trPr>
        <w:tc>
          <w:tcPr>
            <w:tcW w:w="1271" w:type="dxa"/>
            <w:tcBorders>
              <w:tl2br w:val="nil"/>
              <w:tr2bl w:val="nil"/>
            </w:tcBorders>
            <w:shd w:val="clear" w:color="auto" w:fill="FFFFFF"/>
            <w:vAlign w:val="center"/>
          </w:tcPr>
          <w:p w14:paraId="284CFB2C">
            <w:pPr>
              <w:rPr>
                <w:rFonts w:hint="default"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描述移位加密算法（6分钟）</w:t>
            </w:r>
          </w:p>
        </w:tc>
        <w:tc>
          <w:tcPr>
            <w:tcW w:w="5084" w:type="dxa"/>
            <w:tcBorders>
              <w:tl2br w:val="nil"/>
              <w:tr2bl w:val="nil"/>
            </w:tcBorders>
            <w:shd w:val="clear" w:color="auto" w:fill="FFFFFF"/>
            <w:vAlign w:val="top"/>
          </w:tcPr>
          <w:p w14:paraId="0E288B4F">
            <w:pPr>
              <w:numPr>
                <w:ilvl w:val="0"/>
                <w:numId w:val="0"/>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回顾自然语言和流程图，并展示移位加密算法的两种描述方式。</w:t>
            </w:r>
          </w:p>
          <w:p w14:paraId="77D39EDA">
            <w:pPr>
              <w:numPr>
                <w:ilvl w:val="0"/>
                <w:numId w:val="0"/>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组织同学们完成《信息科技实践指导手册》上的试一试，补全空缺的流程图。</w:t>
            </w:r>
          </w:p>
          <w:p w14:paraId="42F0C91C">
            <w:pPr>
              <w:numPr>
                <w:ilvl w:val="0"/>
                <w:numId w:val="0"/>
              </w:numPr>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3.拓展知识《凯撒密码的故事》。【播放视频】</w:t>
            </w:r>
          </w:p>
        </w:tc>
        <w:tc>
          <w:tcPr>
            <w:tcW w:w="1755" w:type="dxa"/>
            <w:tcBorders>
              <w:tl2br w:val="nil"/>
              <w:tr2bl w:val="nil"/>
            </w:tcBorders>
            <w:shd w:val="clear" w:color="auto" w:fill="FFFFFF"/>
            <w:vAlign w:val="top"/>
          </w:tcPr>
          <w:p w14:paraId="496FCA70">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回顾算法的描述方式、基本结构等相关内容，思考并完成填空。</w:t>
            </w:r>
          </w:p>
          <w:p w14:paraId="7D533FDA">
            <w:pPr>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观看视频，了解真实历史故事。</w:t>
            </w:r>
          </w:p>
        </w:tc>
        <w:tc>
          <w:tcPr>
            <w:tcW w:w="2572" w:type="dxa"/>
            <w:tcBorders>
              <w:tl2br w:val="nil"/>
              <w:tr2bl w:val="nil"/>
            </w:tcBorders>
            <w:shd w:val="clear" w:color="auto" w:fill="FFFFFF"/>
            <w:vAlign w:val="top"/>
          </w:tcPr>
          <w:p w14:paraId="0AA4B175">
            <w:pPr>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通过补全流程图，</w:t>
            </w:r>
            <w:r>
              <w:rPr>
                <w:rFonts w:hint="eastAsia" w:ascii="宋体" w:hAnsi="宋体" w:eastAsia="宋体" w:cs="宋体"/>
                <w:b w:val="0"/>
                <w:bCs w:val="0"/>
                <w:sz w:val="21"/>
                <w:szCs w:val="21"/>
                <w:lang w:val="en-US" w:eastAsia="zh-CN"/>
              </w:rPr>
              <w:t>突破重点，</w:t>
            </w:r>
            <w:r>
              <w:rPr>
                <w:rFonts w:hint="eastAsia" w:ascii="宋体" w:hAnsi="宋体" w:eastAsia="宋体" w:cs="宋体"/>
                <w:b w:val="0"/>
                <w:bCs w:val="0"/>
                <w:sz w:val="21"/>
                <w:szCs w:val="21"/>
              </w:rPr>
              <w:t>帮助学生</w:t>
            </w:r>
            <w:r>
              <w:rPr>
                <w:rFonts w:hint="eastAsia" w:ascii="宋体" w:hAnsi="宋体" w:eastAsia="宋体" w:cs="宋体"/>
                <w:b w:val="0"/>
                <w:bCs w:val="0"/>
                <w:sz w:val="21"/>
                <w:szCs w:val="21"/>
                <w:lang w:val="en-US" w:eastAsia="zh-CN"/>
              </w:rPr>
              <w:t>进一步</w:t>
            </w:r>
            <w:r>
              <w:rPr>
                <w:rFonts w:hint="eastAsia" w:ascii="宋体" w:hAnsi="宋体" w:eastAsia="宋体" w:cs="宋体"/>
                <w:b w:val="0"/>
                <w:bCs w:val="0"/>
                <w:sz w:val="21"/>
                <w:szCs w:val="21"/>
              </w:rPr>
              <w:t>理解</w:t>
            </w:r>
            <w:r>
              <w:rPr>
                <w:rFonts w:hint="eastAsia" w:ascii="宋体" w:hAnsi="宋体" w:eastAsia="宋体" w:cs="宋体"/>
                <w:b w:val="0"/>
                <w:bCs w:val="0"/>
                <w:sz w:val="21"/>
                <w:szCs w:val="21"/>
                <w:lang w:val="en-US" w:eastAsia="zh-CN"/>
              </w:rPr>
              <w:t>移位加密</w:t>
            </w:r>
            <w:r>
              <w:rPr>
                <w:rFonts w:hint="eastAsia" w:ascii="宋体" w:hAnsi="宋体" w:eastAsia="宋体" w:cs="宋体"/>
                <w:b w:val="0"/>
                <w:bCs w:val="0"/>
                <w:sz w:val="21"/>
                <w:szCs w:val="21"/>
              </w:rPr>
              <w:t>算法，培养学生的逻辑思维能力。</w:t>
            </w:r>
          </w:p>
          <w:p w14:paraId="3A9453DC">
            <w:pPr>
              <w:jc w:val="both"/>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加入历史内容增加跨学科知识融合。</w:t>
            </w:r>
          </w:p>
        </w:tc>
      </w:tr>
      <w:tr w14:paraId="010D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271" w:type="dxa"/>
            <w:tcBorders>
              <w:tl2br w:val="nil"/>
              <w:tr2bl w:val="nil"/>
            </w:tcBorders>
            <w:shd w:val="clear" w:color="auto" w:fill="auto"/>
            <w:vAlign w:val="center"/>
          </w:tcPr>
          <w:p w14:paraId="1E408CB8">
            <w:pPr>
              <w:rPr>
                <w:rFonts w:hint="default"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四</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移位加密算法的简单应用与思考（8分钟）</w:t>
            </w:r>
          </w:p>
        </w:tc>
        <w:tc>
          <w:tcPr>
            <w:tcW w:w="5084" w:type="dxa"/>
            <w:tcBorders>
              <w:tl2br w:val="nil"/>
              <w:tr2bl w:val="nil"/>
            </w:tcBorders>
            <w:shd w:val="clear" w:color="auto" w:fill="auto"/>
            <w:vAlign w:val="top"/>
          </w:tcPr>
          <w:p w14:paraId="30792D4C">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组织同学们完成《信息科技实践指导手册》上的做一做，体验用多行多列的方格实现更为复杂的移位加密算法。</w:t>
            </w:r>
          </w:p>
          <w:p w14:paraId="79C2A100">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巡视学生操作情况，对有困难的学生进行指导。</w:t>
            </w:r>
          </w:p>
          <w:p w14:paraId="3E9021FF">
            <w:pPr>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 请1-2组学生展示自己的密文，交流解密的心得。</w:t>
            </w:r>
          </w:p>
        </w:tc>
        <w:tc>
          <w:tcPr>
            <w:tcW w:w="1755" w:type="dxa"/>
            <w:tcBorders>
              <w:tl2br w:val="nil"/>
              <w:tr2bl w:val="nil"/>
            </w:tcBorders>
            <w:shd w:val="clear" w:color="auto" w:fill="auto"/>
            <w:vAlign w:val="top"/>
          </w:tcPr>
          <w:p w14:paraId="7CBF8983">
            <w:pPr>
              <w:keepNext w:val="0"/>
              <w:keepLines w:val="0"/>
              <w:pageBreakBefore w:val="0"/>
              <w:kinsoku/>
              <w:wordWrap/>
              <w:overflowPunct/>
              <w:topLinePunct w:val="0"/>
              <w:autoSpaceDE/>
              <w:autoSpaceDN/>
              <w:bidi w:val="0"/>
              <w:adjustRightInd/>
              <w:snapToGrid/>
              <w:spacing w:line="460" w:lineRule="atLeast"/>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思考今天的收获与心得，进行加密操作后与同桌交流分享。</w:t>
            </w:r>
          </w:p>
        </w:tc>
        <w:tc>
          <w:tcPr>
            <w:tcW w:w="2572" w:type="dxa"/>
            <w:tcBorders>
              <w:tl2br w:val="nil"/>
              <w:tr2bl w:val="nil"/>
            </w:tcBorders>
            <w:shd w:val="clear" w:color="auto" w:fill="auto"/>
            <w:vAlign w:val="top"/>
          </w:tcPr>
          <w:p w14:paraId="7D91218B">
            <w:pPr>
              <w:keepNext w:val="0"/>
              <w:keepLines w:val="0"/>
              <w:pageBreakBefore w:val="0"/>
              <w:kinsoku/>
              <w:wordWrap/>
              <w:overflowPunct/>
              <w:topLinePunct w:val="0"/>
              <w:autoSpaceDE/>
              <w:autoSpaceDN/>
              <w:bidi w:val="0"/>
              <w:adjustRightInd/>
              <w:snapToGrid/>
              <w:spacing w:line="460" w:lineRule="atLeast"/>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结合学生自身的体会，拓展学生对移位加密算法的认识，培养学生的动手实践能力。</w:t>
            </w:r>
          </w:p>
        </w:tc>
      </w:tr>
      <w:tr w14:paraId="06A0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271" w:type="dxa"/>
            <w:tcBorders>
              <w:tl2br w:val="nil"/>
              <w:tr2bl w:val="nil"/>
            </w:tcBorders>
            <w:shd w:val="clear" w:color="auto" w:fill="auto"/>
            <w:vAlign w:val="center"/>
          </w:tcPr>
          <w:p w14:paraId="1F2AB2BA">
            <w:pPr>
              <w:rPr>
                <w:rFonts w:hint="default"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五</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信息加密与信息安全（10分钟）</w:t>
            </w:r>
          </w:p>
        </w:tc>
        <w:tc>
          <w:tcPr>
            <w:tcW w:w="5084" w:type="dxa"/>
            <w:tcBorders>
              <w:tl2br w:val="nil"/>
              <w:tr2bl w:val="nil"/>
            </w:tcBorders>
            <w:shd w:val="clear" w:color="auto" w:fill="auto"/>
            <w:vAlign w:val="top"/>
          </w:tcPr>
          <w:p w14:paraId="29A45745">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1.展示两个案例，组织并引导同学们思考如何提升加密算法的安全性。</w:t>
            </w:r>
          </w:p>
          <w:p w14:paraId="53EF016A">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2.组织同学们进行更复杂的加密算法设计，记录在《信息科技实践指导手册》上。</w:t>
            </w:r>
          </w:p>
          <w:p w14:paraId="34B13931">
            <w:pPr>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3.升华讨论：加密算法在保护信息安全方面有着重要的意义、中国的“密码卫士”。</w:t>
            </w:r>
          </w:p>
        </w:tc>
        <w:tc>
          <w:tcPr>
            <w:tcW w:w="1755" w:type="dxa"/>
            <w:tcBorders>
              <w:tl2br w:val="nil"/>
              <w:tr2bl w:val="nil"/>
            </w:tcBorders>
            <w:shd w:val="clear" w:color="auto" w:fill="auto"/>
            <w:vAlign w:val="top"/>
          </w:tcPr>
          <w:p w14:paraId="40A297EB">
            <w:pPr>
              <w:jc w:val="both"/>
              <w:rPr>
                <w:rFonts w:hint="eastAsia" w:ascii="宋体" w:hAnsi="宋体" w:eastAsia="宋体" w:cs="宋体"/>
                <w:sz w:val="21"/>
                <w:szCs w:val="21"/>
              </w:rPr>
            </w:pPr>
            <w:r>
              <w:rPr>
                <w:rFonts w:hint="eastAsia" w:ascii="宋体" w:hAnsi="宋体" w:eastAsia="宋体" w:cs="宋体"/>
                <w:sz w:val="21"/>
                <w:szCs w:val="21"/>
              </w:rPr>
              <w:t>小组讨论，交流对提升加密算法安全性的看法和思路。</w:t>
            </w:r>
          </w:p>
        </w:tc>
        <w:tc>
          <w:tcPr>
            <w:tcW w:w="2572" w:type="dxa"/>
            <w:tcBorders>
              <w:tl2br w:val="nil"/>
              <w:tr2bl w:val="nil"/>
            </w:tcBorders>
            <w:shd w:val="clear" w:color="auto" w:fill="auto"/>
            <w:vAlign w:val="top"/>
          </w:tcPr>
          <w:p w14:paraId="13F15D07">
            <w:pPr>
              <w:keepNext w:val="0"/>
              <w:keepLines w:val="0"/>
              <w:pageBreakBefore w:val="0"/>
              <w:kinsoku/>
              <w:wordWrap/>
              <w:overflowPunct/>
              <w:topLinePunct w:val="0"/>
              <w:autoSpaceDE/>
              <w:autoSpaceDN/>
              <w:bidi w:val="0"/>
              <w:adjustRightInd/>
              <w:snapToGrid/>
              <w:spacing w:line="460" w:lineRule="atLeast"/>
              <w:jc w:val="both"/>
              <w:textAlignment w:val="auto"/>
              <w:rPr>
                <w:rFonts w:hint="default" w:ascii="宋体" w:hAnsi="宋体" w:eastAsia="宋体" w:cs="宋体"/>
                <w:b/>
                <w:bCs/>
                <w:sz w:val="21"/>
                <w:szCs w:val="21"/>
                <w:highlight w:val="yellow"/>
                <w:lang w:val="en-US"/>
              </w:rPr>
            </w:pPr>
            <w:r>
              <w:rPr>
                <w:rFonts w:hint="eastAsia" w:ascii="宋体" w:hAnsi="宋体" w:eastAsia="宋体" w:cs="宋体"/>
                <w:sz w:val="21"/>
                <w:szCs w:val="21"/>
                <w:lang w:val="en-US" w:eastAsia="zh-CN"/>
              </w:rPr>
              <w:t>培养学生的创新思维能力和实践能力，同时通过引申讨论增强学生的信息安全意识，突破教学难点。</w:t>
            </w:r>
          </w:p>
        </w:tc>
      </w:tr>
      <w:tr w14:paraId="62D5A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jc w:val="center"/>
        </w:trPr>
        <w:tc>
          <w:tcPr>
            <w:tcW w:w="1271" w:type="dxa"/>
            <w:tcBorders>
              <w:tl2br w:val="nil"/>
              <w:tr2bl w:val="nil"/>
            </w:tcBorders>
            <w:shd w:val="clear" w:color="auto" w:fill="auto"/>
            <w:vAlign w:val="center"/>
          </w:tcPr>
          <w:p w14:paraId="1FBED1EF">
            <w:pPr>
              <w:numPr>
                <w:ilvl w:val="0"/>
                <w:numId w:val="5"/>
              </w:num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小结与课后作业（5分钟）</w:t>
            </w:r>
          </w:p>
        </w:tc>
        <w:tc>
          <w:tcPr>
            <w:tcW w:w="5084" w:type="dxa"/>
            <w:tcBorders>
              <w:tl2br w:val="nil"/>
              <w:tr2bl w:val="nil"/>
            </w:tcBorders>
            <w:shd w:val="clear" w:color="auto" w:fill="auto"/>
            <w:vAlign w:val="top"/>
          </w:tcPr>
          <w:p w14:paraId="6CCBC542">
            <w:pPr>
              <w:numPr>
                <w:ilvl w:val="0"/>
                <w:numId w:val="6"/>
              </w:numPr>
              <w:ind w:leftChars="0"/>
              <w:jc w:val="both"/>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引导学生回顾本节课的学习内容</w:t>
            </w:r>
            <w:r>
              <w:rPr>
                <w:rFonts w:hint="eastAsia" w:ascii="宋体" w:hAnsi="宋体" w:eastAsia="宋体" w:cs="宋体"/>
                <w:sz w:val="21"/>
                <w:szCs w:val="21"/>
                <w:lang w:val="en-US" w:eastAsia="zh-CN"/>
              </w:rPr>
              <w:t>，对学生的发言进行总结。</w:t>
            </w:r>
          </w:p>
          <w:p w14:paraId="57D6A6A2">
            <w:pPr>
              <w:numPr>
                <w:ilvl w:val="0"/>
                <w:numId w:val="6"/>
              </w:numPr>
              <w:ind w:left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结合《信息科技实践指导手册》</w:t>
            </w:r>
            <w:r>
              <w:rPr>
                <w:rFonts w:hint="default" w:ascii="宋体" w:hAnsi="宋体" w:eastAsia="宋体" w:cs="宋体"/>
                <w:sz w:val="21"/>
                <w:szCs w:val="21"/>
                <w:lang w:val="en-US" w:eastAsia="zh-CN"/>
              </w:rPr>
              <w:t>布置两道课后拓展任务</w:t>
            </w:r>
            <w:r>
              <w:rPr>
                <w:rFonts w:hint="eastAsia" w:ascii="宋体" w:hAnsi="宋体" w:eastAsia="宋体" w:cs="宋体"/>
                <w:sz w:val="21"/>
                <w:szCs w:val="21"/>
                <w:lang w:val="en-US" w:eastAsia="zh-CN"/>
              </w:rPr>
              <w:t>。</w:t>
            </w:r>
          </w:p>
        </w:tc>
        <w:tc>
          <w:tcPr>
            <w:tcW w:w="1755" w:type="dxa"/>
            <w:tcBorders>
              <w:tl2br w:val="nil"/>
              <w:tr2bl w:val="nil"/>
            </w:tcBorders>
            <w:shd w:val="clear" w:color="auto" w:fill="auto"/>
            <w:vAlign w:val="top"/>
          </w:tcPr>
          <w:p w14:paraId="179FEE31">
            <w:pPr>
              <w:jc w:val="both"/>
              <w:rPr>
                <w:rFonts w:hint="eastAsia" w:ascii="宋体" w:hAnsi="宋体" w:eastAsia="宋体" w:cs="宋体"/>
                <w:sz w:val="21"/>
                <w:szCs w:val="21"/>
              </w:rPr>
            </w:pPr>
            <w:r>
              <w:rPr>
                <w:rFonts w:hint="eastAsia" w:ascii="宋体" w:hAnsi="宋体" w:eastAsia="宋体" w:cs="宋体"/>
                <w:sz w:val="21"/>
                <w:szCs w:val="21"/>
              </w:rPr>
              <w:t>回顾本节课的学习内容，积极发言分享自己的收获和体会。</w:t>
            </w:r>
          </w:p>
        </w:tc>
        <w:tc>
          <w:tcPr>
            <w:tcW w:w="2572" w:type="dxa"/>
            <w:tcBorders>
              <w:tl2br w:val="nil"/>
              <w:tr2bl w:val="nil"/>
            </w:tcBorders>
            <w:shd w:val="clear" w:color="auto" w:fill="auto"/>
            <w:vAlign w:val="top"/>
          </w:tcPr>
          <w:p w14:paraId="4B9230CC">
            <w:pPr>
              <w:jc w:val="both"/>
              <w:rPr>
                <w:rFonts w:hint="eastAsia" w:ascii="宋体" w:hAnsi="宋体" w:eastAsia="宋体" w:cs="宋体"/>
                <w:sz w:val="21"/>
                <w:szCs w:val="21"/>
                <w:lang w:eastAsia="zh-CN"/>
              </w:rPr>
            </w:pPr>
            <w:r>
              <w:rPr>
                <w:rFonts w:hint="eastAsia" w:ascii="宋体" w:hAnsi="宋体" w:eastAsia="宋体" w:cs="宋体"/>
                <w:sz w:val="21"/>
                <w:szCs w:val="21"/>
              </w:rPr>
              <w:t>梳理本节课的知识体系，巩固所学内容</w:t>
            </w:r>
            <w:r>
              <w:rPr>
                <w:rFonts w:hint="eastAsia" w:ascii="宋体" w:hAnsi="宋体" w:eastAsia="宋体" w:cs="宋体"/>
                <w:sz w:val="21"/>
                <w:szCs w:val="21"/>
                <w:lang w:eastAsia="zh-CN"/>
              </w:rPr>
              <w:t>，为下节课的学习做好铺垫。</w:t>
            </w:r>
          </w:p>
        </w:tc>
      </w:tr>
      <w:tr w14:paraId="3C6F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82" w:type="dxa"/>
            <w:gridSpan w:val="4"/>
            <w:tcBorders>
              <w:tl2br w:val="nil"/>
              <w:tr2bl w:val="nil"/>
            </w:tcBorders>
            <w:shd w:val="clear" w:color="auto" w:fill="DBE3F4" w:themeFill="accent1" w:themeFillTint="32"/>
            <w:vAlign w:val="center"/>
          </w:tcPr>
          <w:p w14:paraId="48F2608F">
            <w:pPr>
              <w:rPr>
                <w:rFonts w:hint="eastAsia" w:ascii="宋体" w:hAnsi="宋体" w:eastAsia="宋体" w:cs="宋体"/>
                <w:sz w:val="24"/>
                <w:szCs w:val="24"/>
              </w:rPr>
            </w:pPr>
            <w:r>
              <w:rPr>
                <w:rFonts w:hint="eastAsia" w:ascii="宋体" w:hAnsi="宋体" w:eastAsia="宋体" w:cs="宋体"/>
                <w:color w:val="auto"/>
                <w:sz w:val="24"/>
                <w:szCs w:val="24"/>
              </w:rPr>
              <w:t>八、学习评价设计</w:t>
            </w:r>
          </w:p>
        </w:tc>
      </w:tr>
      <w:tr w14:paraId="3EF1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682" w:type="dxa"/>
            <w:gridSpan w:val="4"/>
            <w:tcBorders>
              <w:tl2br w:val="nil"/>
              <w:tr2bl w:val="nil"/>
            </w:tcBorders>
            <w:shd w:val="clear" w:color="auto" w:fill="auto"/>
            <w:vAlign w:val="top"/>
          </w:tcPr>
          <w:p w14:paraId="02276D6A">
            <w:pPr>
              <w:numPr>
                <w:ilvl w:val="0"/>
                <w:numId w:val="7"/>
              </w:numPr>
              <w:ind w:left="0" w:leftChars="0" w:firstLine="0" w:firstLineChars="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通过《信息科技实践指导手册》上练习的相关完成情况，组织学生在该主题学习评价上进行自评。</w:t>
            </w:r>
          </w:p>
          <w:p w14:paraId="4C0B118C">
            <w:pPr>
              <w:numPr>
                <w:ilvl w:val="0"/>
                <w:numId w:val="7"/>
              </w:numPr>
              <w:ind w:left="0" w:leftChars="0" w:firstLine="0" w:firstLineChars="0"/>
              <w:jc w:val="both"/>
              <w:rPr>
                <w:rFonts w:hint="eastAsia" w:ascii="宋体" w:hAnsi="宋体" w:eastAsia="宋体" w:cs="宋体"/>
                <w:sz w:val="24"/>
                <w:szCs w:val="24"/>
              </w:rPr>
            </w:pPr>
            <w:r>
              <w:rPr>
                <w:rFonts w:hint="eastAsia" w:ascii="宋体" w:hAnsi="宋体" w:eastAsia="宋体" w:cs="宋体"/>
                <w:sz w:val="24"/>
                <w:szCs w:val="24"/>
                <w:lang w:val="en-US" w:eastAsia="zh-CN"/>
              </w:rPr>
              <w:t>在交流讨论、小组分享等环节，通过师生互评、生生互评等方式，促进学生之间的学习和交流。</w:t>
            </w:r>
          </w:p>
        </w:tc>
      </w:tr>
      <w:tr w14:paraId="4340C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82" w:type="dxa"/>
            <w:gridSpan w:val="4"/>
            <w:tcBorders>
              <w:tl2br w:val="nil"/>
              <w:tr2bl w:val="nil"/>
            </w:tcBorders>
            <w:shd w:val="clear" w:color="auto" w:fill="DBE3F4" w:themeFill="accent1" w:themeFillTint="32"/>
            <w:vAlign w:val="center"/>
          </w:tcPr>
          <w:p w14:paraId="038C3CBB">
            <w:pPr>
              <w:rPr>
                <w:rFonts w:hint="eastAsia" w:ascii="宋体" w:hAnsi="宋体" w:eastAsia="宋体" w:cs="宋体"/>
                <w:color w:val="000000"/>
                <w:sz w:val="24"/>
                <w:szCs w:val="24"/>
              </w:rPr>
            </w:pPr>
            <w:r>
              <w:rPr>
                <w:rFonts w:hint="eastAsia" w:ascii="宋体" w:hAnsi="宋体" w:eastAsia="宋体" w:cs="宋体"/>
                <w:color w:val="auto"/>
                <w:sz w:val="24"/>
                <w:szCs w:val="24"/>
              </w:rPr>
              <w:t>九</w:t>
            </w:r>
            <w:r>
              <w:rPr>
                <w:rFonts w:hint="eastAsia" w:ascii="宋体" w:hAnsi="宋体" w:eastAsia="宋体" w:cs="宋体"/>
                <w:sz w:val="24"/>
                <w:szCs w:val="24"/>
              </w:rPr>
              <w:t>、板书设计</w:t>
            </w:r>
          </w:p>
        </w:tc>
      </w:tr>
      <w:tr w14:paraId="098B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0682" w:type="dxa"/>
            <w:gridSpan w:val="4"/>
            <w:tcBorders>
              <w:tl2br w:val="nil"/>
              <w:tr2bl w:val="nil"/>
            </w:tcBorders>
            <w:shd w:val="clear" w:color="auto" w:fill="auto"/>
            <w:vAlign w:val="center"/>
          </w:tcPr>
          <w:p w14:paraId="3E7AEEB2">
            <w:pPr>
              <w:rPr>
                <w:rFonts w:hint="eastAsia" w:ascii="宋体" w:hAnsi="宋体" w:eastAsia="宋体" w:cs="宋体"/>
                <w:sz w:val="24"/>
                <w:szCs w:val="24"/>
              </w:rPr>
            </w:pPr>
            <w:r>
              <w:rPr>
                <w:rFonts w:hint="eastAsia" w:ascii="宋体" w:hAnsi="宋体" w:eastAsia="宋体" w:cs="宋体"/>
                <w:sz w:val="24"/>
                <w:szCs w:val="24"/>
              </w:rPr>
              <w:t>互传密信有诀窍​</w:t>
            </w:r>
          </w:p>
          <w:p w14:paraId="1736F5DB">
            <w:pPr>
              <w:ind w:firstLine="1920" w:firstLineChars="800"/>
              <w:jc w:val="both"/>
              <w:rPr>
                <w:rFonts w:hint="eastAsia" w:ascii="宋体" w:hAnsi="宋体" w:eastAsia="宋体" w:cs="宋体"/>
                <w:sz w:val="24"/>
                <w:szCs w:val="24"/>
              </w:rPr>
            </w:pPr>
            <w:r>
              <w:rPr>
                <w:rFonts w:hint="eastAsia" w:ascii="宋体" w:hAnsi="宋体" w:eastAsia="宋体" w:cs="宋体"/>
                <w:sz w:val="24"/>
                <w:szCs w:val="24"/>
              </w:rPr>
              <w:t>一、移位加密算法​</w:t>
            </w:r>
          </w:p>
          <w:p w14:paraId="1150C7F9">
            <w:pPr>
              <w:ind w:firstLine="1920" w:firstLineChars="800"/>
              <w:jc w:val="both"/>
              <w:rPr>
                <w:rFonts w:hint="eastAsia" w:ascii="宋体" w:hAnsi="宋体" w:eastAsia="宋体" w:cs="宋体"/>
                <w:sz w:val="24"/>
                <w:szCs w:val="24"/>
              </w:rPr>
            </w:pPr>
            <w:r>
              <w:rPr>
                <w:rFonts w:hint="eastAsia" w:ascii="宋体" w:hAnsi="宋体" w:eastAsia="宋体" w:cs="宋体"/>
                <w:sz w:val="24"/>
                <w:szCs w:val="24"/>
                <w:lang w:val="en-US" w:eastAsia="zh-CN"/>
              </w:rPr>
              <w:t>1. 基本概念：</w:t>
            </w:r>
            <w:r>
              <w:rPr>
                <w:rFonts w:hint="eastAsia" w:ascii="宋体" w:hAnsi="宋体" w:eastAsia="宋体" w:cs="宋体"/>
                <w:sz w:val="24"/>
                <w:szCs w:val="24"/>
              </w:rPr>
              <w:t>明文</w:t>
            </w:r>
            <w:r>
              <w:rPr>
                <w:rFonts w:hint="eastAsia" w:ascii="宋体" w:hAnsi="宋体" w:eastAsia="宋体" w:cs="宋体"/>
                <w:sz w:val="24"/>
                <w:szCs w:val="24"/>
                <w:lang w:eastAsia="zh-CN"/>
              </w:rPr>
              <w:t>、</w:t>
            </w:r>
            <w:r>
              <w:rPr>
                <w:rFonts w:hint="eastAsia" w:ascii="宋体" w:hAnsi="宋体" w:eastAsia="宋体" w:cs="宋体"/>
                <w:sz w:val="24"/>
                <w:szCs w:val="24"/>
              </w:rPr>
              <w:t>密文</w:t>
            </w:r>
            <w:r>
              <w:rPr>
                <w:rFonts w:hint="eastAsia" w:ascii="宋体" w:hAnsi="宋体" w:eastAsia="宋体" w:cs="宋体"/>
                <w:sz w:val="24"/>
                <w:szCs w:val="24"/>
                <w:lang w:eastAsia="zh-CN"/>
              </w:rPr>
              <w:t>、</w:t>
            </w:r>
            <w:r>
              <w:rPr>
                <w:rFonts w:hint="eastAsia" w:ascii="宋体" w:hAnsi="宋体" w:eastAsia="宋体" w:cs="宋体"/>
                <w:sz w:val="24"/>
                <w:szCs w:val="24"/>
              </w:rPr>
              <w:t>凯撒密码</w:t>
            </w:r>
          </w:p>
          <w:p w14:paraId="48C9E44B">
            <w:pPr>
              <w:ind w:firstLine="1920" w:firstLineChars="800"/>
              <w:jc w:val="both"/>
              <w:rPr>
                <w:rFonts w:hint="eastAsia" w:ascii="宋体" w:hAnsi="宋体" w:eastAsia="宋体" w:cs="宋体"/>
                <w:sz w:val="24"/>
                <w:szCs w:val="24"/>
              </w:rPr>
            </w:pPr>
            <w:r>
              <w:rPr>
                <w:rFonts w:hint="eastAsia" w:ascii="宋体" w:hAnsi="宋体" w:eastAsia="宋体" w:cs="宋体"/>
                <w:sz w:val="24"/>
                <w:szCs w:val="24"/>
                <w:lang w:val="en-US" w:eastAsia="zh-CN"/>
              </w:rPr>
              <w:t>2. 描述方式：自然语言、流程图</w:t>
            </w:r>
            <w:r>
              <w:rPr>
                <w:rFonts w:hint="eastAsia" w:ascii="宋体" w:hAnsi="宋体" w:eastAsia="宋体" w:cs="宋体"/>
                <w:sz w:val="24"/>
                <w:szCs w:val="24"/>
              </w:rPr>
              <w:t>​</w:t>
            </w:r>
          </w:p>
          <w:p w14:paraId="1E222B81">
            <w:pPr>
              <w:ind w:firstLine="1920" w:firstLineChars="800"/>
              <w:jc w:val="both"/>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、移位加密算法的简单应用与思考​</w:t>
            </w:r>
          </w:p>
          <w:p w14:paraId="4D1096A9">
            <w:pPr>
              <w:ind w:firstLine="1920" w:firstLineChars="800"/>
              <w:jc w:val="both"/>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、信息加密与信息安全</w:t>
            </w:r>
          </w:p>
        </w:tc>
      </w:tr>
      <w:tr w14:paraId="3C418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0682" w:type="dxa"/>
            <w:gridSpan w:val="4"/>
            <w:tcBorders>
              <w:tl2br w:val="nil"/>
              <w:tr2bl w:val="nil"/>
            </w:tcBorders>
            <w:shd w:val="clear" w:color="auto" w:fill="DBE3F4" w:themeFill="accent1" w:themeFillTint="32"/>
            <w:vAlign w:val="center"/>
          </w:tcPr>
          <w:p w14:paraId="29CBB0F9">
            <w:pPr>
              <w:rPr>
                <w:rFonts w:hint="eastAsia" w:ascii="宋体" w:hAnsi="宋体" w:eastAsia="宋体" w:cs="宋体"/>
                <w:sz w:val="24"/>
                <w:szCs w:val="24"/>
              </w:rPr>
            </w:pPr>
            <w:r>
              <w:rPr>
                <w:rFonts w:hint="eastAsia" w:ascii="宋体" w:hAnsi="宋体" w:eastAsia="宋体" w:cs="宋体"/>
                <w:color w:val="auto"/>
                <w:sz w:val="24"/>
                <w:szCs w:val="24"/>
              </w:rPr>
              <w:t>十、</w:t>
            </w:r>
            <w:r>
              <w:rPr>
                <w:rFonts w:hint="eastAsia" w:ascii="宋体" w:hAnsi="宋体" w:eastAsia="宋体" w:cs="宋体"/>
                <w:sz w:val="24"/>
                <w:szCs w:val="24"/>
              </w:rPr>
              <w:t>教学反思</w:t>
            </w:r>
          </w:p>
        </w:tc>
      </w:tr>
      <w:tr w14:paraId="04191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82" w:type="dxa"/>
            <w:gridSpan w:val="4"/>
            <w:tcBorders>
              <w:tl2br w:val="nil"/>
              <w:tr2bl w:val="nil"/>
            </w:tcBorders>
            <w:vAlign w:val="center"/>
          </w:tcPr>
          <w:p w14:paraId="3AFA3C54">
            <w:pPr>
              <w:jc w:val="both"/>
              <w:rPr>
                <w:rFonts w:hint="eastAsia" w:ascii="宋体" w:hAnsi="宋体" w:eastAsia="宋体" w:cs="宋体"/>
                <w:sz w:val="24"/>
                <w:szCs w:val="24"/>
              </w:rPr>
            </w:pPr>
          </w:p>
          <w:p w14:paraId="605BCADB">
            <w:pPr>
              <w:jc w:val="both"/>
              <w:rPr>
                <w:rFonts w:hint="eastAsia" w:ascii="宋体" w:hAnsi="宋体" w:eastAsia="宋体" w:cs="宋体"/>
                <w:sz w:val="24"/>
                <w:szCs w:val="24"/>
              </w:rPr>
            </w:pPr>
          </w:p>
        </w:tc>
      </w:tr>
    </w:tbl>
    <w:p w14:paraId="3B4D8C8C"/>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506786"/>
    <w:multiLevelType w:val="singleLevel"/>
    <w:tmpl w:val="A8506786"/>
    <w:lvl w:ilvl="0" w:tentative="0">
      <w:start w:val="1"/>
      <w:numFmt w:val="decimal"/>
      <w:suff w:val="space"/>
      <w:lvlText w:val="%1."/>
      <w:lvlJc w:val="left"/>
    </w:lvl>
  </w:abstractNum>
  <w:abstractNum w:abstractNumId="1">
    <w:nsid w:val="E1B1723D"/>
    <w:multiLevelType w:val="singleLevel"/>
    <w:tmpl w:val="E1B1723D"/>
    <w:lvl w:ilvl="0" w:tentative="0">
      <w:start w:val="1"/>
      <w:numFmt w:val="decimal"/>
      <w:suff w:val="space"/>
      <w:lvlText w:val="%1."/>
      <w:lvlJc w:val="left"/>
    </w:lvl>
  </w:abstractNum>
  <w:abstractNum w:abstractNumId="2">
    <w:nsid w:val="1FF506BC"/>
    <w:multiLevelType w:val="singleLevel"/>
    <w:tmpl w:val="1FF506BC"/>
    <w:lvl w:ilvl="0" w:tentative="0">
      <w:start w:val="1"/>
      <w:numFmt w:val="decimal"/>
      <w:suff w:val="space"/>
      <w:lvlText w:val="%1."/>
      <w:lvlJc w:val="left"/>
    </w:lvl>
  </w:abstractNum>
  <w:abstractNum w:abstractNumId="3">
    <w:nsid w:val="282D5F2B"/>
    <w:multiLevelType w:val="singleLevel"/>
    <w:tmpl w:val="282D5F2B"/>
    <w:lvl w:ilvl="0" w:tentative="0">
      <w:start w:val="1"/>
      <w:numFmt w:val="decimal"/>
      <w:lvlText w:val="%1."/>
      <w:lvlJc w:val="left"/>
      <w:pPr>
        <w:tabs>
          <w:tab w:val="left" w:pos="312"/>
        </w:tabs>
        <w:ind w:left="120" w:leftChars="0" w:firstLine="0" w:firstLineChars="0"/>
      </w:pPr>
    </w:lvl>
  </w:abstractNum>
  <w:abstractNum w:abstractNumId="4">
    <w:nsid w:val="2F43DF8A"/>
    <w:multiLevelType w:val="singleLevel"/>
    <w:tmpl w:val="2F43DF8A"/>
    <w:lvl w:ilvl="0" w:tentative="0">
      <w:start w:val="6"/>
      <w:numFmt w:val="chineseCounting"/>
      <w:suff w:val="nothing"/>
      <w:lvlText w:val="（%1）"/>
      <w:lvlJc w:val="left"/>
      <w:rPr>
        <w:rFonts w:hint="eastAsia"/>
      </w:rPr>
    </w:lvl>
  </w:abstractNum>
  <w:abstractNum w:abstractNumId="5">
    <w:nsid w:val="36939351"/>
    <w:multiLevelType w:val="singleLevel"/>
    <w:tmpl w:val="36939351"/>
    <w:lvl w:ilvl="0" w:tentative="0">
      <w:start w:val="1"/>
      <w:numFmt w:val="decimal"/>
      <w:suff w:val="space"/>
      <w:lvlText w:val="%1."/>
      <w:lvlJc w:val="left"/>
    </w:lvl>
  </w:abstractNum>
  <w:abstractNum w:abstractNumId="6">
    <w:nsid w:val="7A2490A9"/>
    <w:multiLevelType w:val="singleLevel"/>
    <w:tmpl w:val="7A2490A9"/>
    <w:lvl w:ilvl="0" w:tentative="0">
      <w:start w:val="1"/>
      <w:numFmt w:val="decimal"/>
      <w:lvlText w:val="%1."/>
      <w:lvlJc w:val="left"/>
      <w:pPr>
        <w:tabs>
          <w:tab w:val="left" w:pos="312"/>
        </w:tabs>
      </w:pPr>
    </w:lvl>
  </w:abstractNum>
  <w:num w:numId="1">
    <w:abstractNumId w:val="3"/>
  </w:num>
  <w:num w:numId="2">
    <w:abstractNumId w:val="1"/>
  </w:num>
  <w:num w:numId="3">
    <w:abstractNumId w:val="6"/>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34561AC3"/>
    <w:rsid w:val="02C62933"/>
    <w:rsid w:val="04D23811"/>
    <w:rsid w:val="0D1C34C8"/>
    <w:rsid w:val="105E6E47"/>
    <w:rsid w:val="1069217B"/>
    <w:rsid w:val="116C0B49"/>
    <w:rsid w:val="1B397CEE"/>
    <w:rsid w:val="214D493F"/>
    <w:rsid w:val="29F73287"/>
    <w:rsid w:val="2C42277B"/>
    <w:rsid w:val="2E1819E5"/>
    <w:rsid w:val="33490893"/>
    <w:rsid w:val="34561AC3"/>
    <w:rsid w:val="351A4295"/>
    <w:rsid w:val="36BE5504"/>
    <w:rsid w:val="3ECC2CD6"/>
    <w:rsid w:val="3FBD063E"/>
    <w:rsid w:val="44C47D79"/>
    <w:rsid w:val="4651388E"/>
    <w:rsid w:val="466A37E5"/>
    <w:rsid w:val="537B1F4B"/>
    <w:rsid w:val="539179C0"/>
    <w:rsid w:val="54F63F7F"/>
    <w:rsid w:val="62A9406E"/>
    <w:rsid w:val="63B84AF5"/>
    <w:rsid w:val="6BBD4D39"/>
    <w:rsid w:val="6CED1CB3"/>
    <w:rsid w:val="6EE75201"/>
    <w:rsid w:val="71924BD7"/>
    <w:rsid w:val="75702BBC"/>
    <w:rsid w:val="76281E0A"/>
    <w:rsid w:val="79EA1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2600</Words>
  <Characters>2629</Characters>
  <Lines>0</Lines>
  <Paragraphs>0</Paragraphs>
  <TotalTime>22</TotalTime>
  <ScaleCrop>false</ScaleCrop>
  <LinksUpToDate>false</LinksUpToDate>
  <CharactersWithSpaces>2653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2025-01-21T10:52:00Z</dcterms:created>
  <dc:creator>弑弒</dc:creator>
  <cp:lastModifiedBy> </cp:lastModifiedBy>
  <dcterms:modified xsi:type="dcterms:W3CDTF">2025-08-10T11:20:13Z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414AC62D39534FA0BB7874ED27B14B4D_13</vt:lpwstr>
  </property>
  <property fmtid="{D5CDD505-2E9C-101B-9397-08002B2CF9AE}" pid="4" name="KSOTemplateDocerSaveRecord">
    <vt:lpwstr>eyJoZGlkIjoiZGI0ZjQxM2U5NTU3MWJmZmExNDMwMWQ0ZDI4OTg0ZTgiLCJ1c2VySWQiOiIyODAyNjE4NjAifQ==</vt:lpwstr>
  </property>
</Properties>
</file>